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4A144" w14:textId="77777777" w:rsidR="00BC703F" w:rsidRPr="00DE2CFE" w:rsidRDefault="00BC703F" w:rsidP="00BC703F">
      <w:pPr>
        <w:autoSpaceDE w:val="0"/>
        <w:autoSpaceDN w:val="0"/>
        <w:adjustRightInd w:val="0"/>
        <w:jc w:val="both"/>
        <w:rPr>
          <w:rFonts w:cs="Arial"/>
        </w:rPr>
      </w:pPr>
    </w:p>
    <w:p w14:paraId="2E6B7D21" w14:textId="77777777" w:rsidR="00BC703F" w:rsidRPr="00141EE3" w:rsidRDefault="00BC703F" w:rsidP="00BC703F">
      <w:pPr>
        <w:autoSpaceDE w:val="0"/>
        <w:autoSpaceDN w:val="0"/>
        <w:adjustRightInd w:val="0"/>
        <w:jc w:val="both"/>
        <w:rPr>
          <w:rFonts w:cs="Arial"/>
        </w:rPr>
      </w:pPr>
    </w:p>
    <w:p w14:paraId="628A046A" w14:textId="5285C72B" w:rsidR="006D5153" w:rsidRPr="00FA4E16" w:rsidRDefault="00FA4E16" w:rsidP="006D5153">
      <w:pPr>
        <w:autoSpaceDE w:val="0"/>
        <w:autoSpaceDN w:val="0"/>
        <w:adjustRightInd w:val="0"/>
        <w:jc w:val="both"/>
        <w:rPr>
          <w:rFonts w:cs="Arial"/>
          <w:vanish/>
          <w:color w:val="FF0000"/>
        </w:rPr>
      </w:pPr>
      <w:hyperlink r:id="rId11" w:tooltip="RIDEABILITY FOR ASPHALT CONCRETE PAVEMENT (INCENTIVE ONLY) 9-20-17 Guidelines- Asphalt projects where Rideability with incentive only adjustments apply (plant mix only). Not to be used for Asphalt Schedule Work." w:history="1">
        <w:r w:rsidRPr="00FA4E16">
          <w:rPr>
            <w:rStyle w:val="Hyperlink"/>
            <w:rFonts w:cs="Arial"/>
            <w:b/>
            <w:bCs/>
            <w:vanish/>
            <w:color w:val="FF0000"/>
          </w:rPr>
          <w:t>cq315-000711-01</w:t>
        </w:r>
      </w:hyperlink>
      <w:r w:rsidR="006D5153" w:rsidRPr="00FA4E16">
        <w:rPr>
          <w:rStyle w:val="Hyperlink"/>
          <w:bCs/>
          <w:vanish/>
          <w:color w:val="FF0000"/>
          <w:u w:val="none"/>
        </w:rPr>
        <w:t xml:space="preserve"> [formerly </w:t>
      </w:r>
      <w:hyperlink r:id="rId12" w:tooltip="RIDEABILITY FOR ASPHALT CONCRETE PAVEMENT (INCENTIVE ONLY) 9-20-17 Guidelines-Asphalt projects where Rideability with incentive only adjustments apply (plant mix only). Not to be used for Asphalt Schedule Work." w:history="1">
        <w:r w:rsidR="006D5153" w:rsidRPr="00FA4E16">
          <w:rPr>
            <w:rStyle w:val="Hyperlink"/>
            <w:bCs/>
            <w:vanish/>
            <w:color w:val="FF0000"/>
            <w:u w:val="none"/>
          </w:rPr>
          <w:t>cq315-070110-01</w:t>
        </w:r>
      </w:hyperlink>
      <w:bookmarkStart w:id="0" w:name="_GoBack"/>
      <w:bookmarkEnd w:id="0"/>
      <w:r w:rsidR="006D5153" w:rsidRPr="00FA4E16">
        <w:rPr>
          <w:rStyle w:val="Hyperlink"/>
          <w:bCs/>
          <w:vanish/>
          <w:color w:val="FF0000"/>
          <w:u w:val="none"/>
        </w:rPr>
        <w:t>]</w:t>
      </w:r>
    </w:p>
    <w:p w14:paraId="6FB03FD1" w14:textId="77777777" w:rsidR="008A393C" w:rsidRPr="00FA4E16" w:rsidRDefault="008A393C" w:rsidP="008A393C">
      <w:pPr>
        <w:jc w:val="both"/>
        <w:rPr>
          <w:vanish/>
          <w:color w:val="FF0000"/>
          <w:sz w:val="18"/>
          <w:szCs w:val="18"/>
        </w:rPr>
      </w:pPr>
      <w:r w:rsidRPr="00FA4E16">
        <w:rPr>
          <w:b/>
          <w:vanish/>
          <w:color w:val="FF0000"/>
          <w:sz w:val="18"/>
          <w:szCs w:val="18"/>
        </w:rPr>
        <w:t xml:space="preserve">GUIDELINES – </w:t>
      </w:r>
      <w:r w:rsidRPr="00FA4E16">
        <w:rPr>
          <w:vanish/>
          <w:color w:val="FF0000"/>
          <w:sz w:val="18"/>
          <w:szCs w:val="18"/>
        </w:rPr>
        <w:t>Asphalt projects where “Rideability” with incentive only adjustments apply (plant mix only).</w:t>
      </w:r>
    </w:p>
    <w:p w14:paraId="696215D4" w14:textId="77777777" w:rsidR="008A393C" w:rsidRPr="00FA4E16" w:rsidRDefault="008A393C" w:rsidP="00BC703F">
      <w:pPr>
        <w:jc w:val="both"/>
        <w:rPr>
          <w:vanish/>
          <w:color w:val="FF0000"/>
          <w:sz w:val="18"/>
          <w:szCs w:val="18"/>
        </w:rPr>
      </w:pPr>
    </w:p>
    <w:p w14:paraId="6F31F3E3" w14:textId="5F200F04" w:rsidR="00BC703F" w:rsidRDefault="00BC703F" w:rsidP="00BC703F">
      <w:pPr>
        <w:autoSpaceDE w:val="0"/>
        <w:autoSpaceDN w:val="0"/>
        <w:adjustRightInd w:val="0"/>
        <w:jc w:val="both"/>
        <w:rPr>
          <w:rFonts w:cs="Arial"/>
        </w:rPr>
      </w:pPr>
      <w:r>
        <w:rPr>
          <w:b/>
        </w:rPr>
        <w:t xml:space="preserve">RIDEABILITY </w:t>
      </w:r>
      <w:r w:rsidRPr="00310C99">
        <w:rPr>
          <w:b/>
        </w:rPr>
        <w:t xml:space="preserve">FOR </w:t>
      </w:r>
      <w:r>
        <w:rPr>
          <w:b/>
        </w:rPr>
        <w:t xml:space="preserve">ASPHALT CONCRETE </w:t>
      </w:r>
      <w:r w:rsidRPr="00310C99">
        <w:rPr>
          <w:b/>
        </w:rPr>
        <w:t>PAVEMENT</w:t>
      </w:r>
      <w:r>
        <w:rPr>
          <w:b/>
        </w:rPr>
        <w:t xml:space="preserve"> (INCENTIVE ONLY)</w:t>
      </w:r>
      <w:r>
        <w:rPr>
          <w:rFonts w:cs="Arial"/>
          <w:b/>
        </w:rPr>
        <w:fldChar w:fldCharType="begin"/>
      </w:r>
      <w:r>
        <w:rPr>
          <w:rFonts w:cs="Arial"/>
        </w:rPr>
        <w:instrText xml:space="preserve"> TC "</w:instrText>
      </w:r>
      <w:bookmarkStart w:id="1" w:name="_Toc462142927"/>
      <w:r>
        <w:rPr>
          <w:b/>
        </w:rPr>
        <w:instrText xml:space="preserve">RIDEABILITY </w:instrText>
      </w:r>
      <w:r w:rsidRPr="00310C99">
        <w:rPr>
          <w:b/>
        </w:rPr>
        <w:instrText xml:space="preserve">FOR </w:instrText>
      </w:r>
      <w:r>
        <w:rPr>
          <w:b/>
        </w:rPr>
        <w:instrText xml:space="preserve">ASPHALT CONC. </w:instrText>
      </w:r>
      <w:r w:rsidRPr="00310C99">
        <w:rPr>
          <w:b/>
        </w:rPr>
        <w:instrText>PAVEMENT</w:instrText>
      </w:r>
      <w:r>
        <w:rPr>
          <w:b/>
        </w:rPr>
        <w:instrText xml:space="preserve"> (INCENTIVE ONLY)</w:instrText>
      </w:r>
      <w:r>
        <w:rPr>
          <w:rFonts w:cs="Arial"/>
        </w:rPr>
        <w:instrText xml:space="preserve">  </w:instrText>
      </w:r>
      <w:r>
        <w:instrText>9-20-1</w:instrText>
      </w:r>
      <w:r w:rsidR="006E439C">
        <w:instrText>7</w:instrText>
      </w:r>
      <w:r>
        <w:rPr>
          <w:rFonts w:cs="Arial"/>
        </w:rPr>
        <w:instrText>_(SPCN)</w:instrText>
      </w:r>
      <w:bookmarkEnd w:id="1"/>
      <w:r>
        <w:rPr>
          <w:rFonts w:cs="Arial"/>
        </w:rPr>
        <w:instrText xml:space="preserve">" \f C \l "1" </w:instrText>
      </w:r>
      <w:r>
        <w:rPr>
          <w:rFonts w:cs="Arial"/>
          <w:b/>
        </w:rPr>
        <w:fldChar w:fldCharType="end"/>
      </w:r>
      <w:r>
        <w:rPr>
          <w:rFonts w:cs="Arial"/>
        </w:rPr>
        <w:t xml:space="preserve"> –— The Special Provision for </w:t>
      </w:r>
      <w:r>
        <w:rPr>
          <w:b/>
        </w:rPr>
        <w:t xml:space="preserve">RIDEABILITY </w:t>
      </w:r>
      <w:r w:rsidRPr="00310C99">
        <w:rPr>
          <w:b/>
        </w:rPr>
        <w:t>(For Asphalt Concrete Pavement)</w:t>
      </w:r>
      <w:r>
        <w:rPr>
          <w:rFonts w:cs="Arial"/>
        </w:rPr>
        <w:t xml:space="preserve"> is amended as follows:</w:t>
      </w:r>
    </w:p>
    <w:p w14:paraId="6A6630B1" w14:textId="77777777" w:rsidR="00BC703F" w:rsidRDefault="00BC703F" w:rsidP="00BC703F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6D66DF6C" w14:textId="0BD67935" w:rsidR="00BC703F" w:rsidRDefault="00BC703F" w:rsidP="00BC703F">
      <w:pPr>
        <w:autoSpaceDE w:val="0"/>
        <w:autoSpaceDN w:val="0"/>
        <w:adjustRightInd w:val="0"/>
        <w:ind w:left="360"/>
        <w:jc w:val="both"/>
        <w:rPr>
          <w:rFonts w:cs="Arial"/>
        </w:rPr>
      </w:pPr>
      <w:r>
        <w:rPr>
          <w:rFonts w:cs="Arial"/>
        </w:rPr>
        <w:t xml:space="preserve">This project is </w:t>
      </w:r>
      <w:r w:rsidRPr="00F000BE">
        <w:t>designated as “incentive only”</w:t>
      </w:r>
      <w:r>
        <w:t xml:space="preserve"> in accordance </w:t>
      </w:r>
      <w:r w:rsidRPr="00322E8B">
        <w:rPr>
          <w:rFonts w:cs="Arial"/>
          <w:b/>
        </w:rPr>
        <w:t>Section I</w:t>
      </w:r>
      <w:r w:rsidR="00AB4D06">
        <w:rPr>
          <w:rFonts w:cs="Arial"/>
          <w:b/>
        </w:rPr>
        <w:t>I-2</w:t>
      </w:r>
      <w:r w:rsidRPr="00322E8B">
        <w:rPr>
          <w:rFonts w:cs="Arial"/>
          <w:b/>
        </w:rPr>
        <w:t xml:space="preserve"> </w:t>
      </w:r>
      <w:r w:rsidRPr="005E309A">
        <w:rPr>
          <w:b/>
        </w:rPr>
        <w:t>Incentive Only Projects</w:t>
      </w:r>
      <w:r>
        <w:t>.</w:t>
      </w:r>
    </w:p>
    <w:p w14:paraId="1E962C5F" w14:textId="77777777" w:rsidR="00BC703F" w:rsidRDefault="00BC703F" w:rsidP="00BC703F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0230EED7" w14:textId="7E2EC009" w:rsidR="00BC703F" w:rsidRPr="0044472B" w:rsidRDefault="00BC703F" w:rsidP="00BC703F">
      <w:pPr>
        <w:autoSpaceDE w:val="0"/>
        <w:autoSpaceDN w:val="0"/>
        <w:adjustRightInd w:val="0"/>
        <w:jc w:val="both"/>
        <w:rPr>
          <w:rFonts w:cs="Arial"/>
        </w:rPr>
      </w:pPr>
      <w:r w:rsidRPr="0044472B">
        <w:t>9-20-1</w:t>
      </w:r>
      <w:r w:rsidR="00AB4D06" w:rsidRPr="0044472B">
        <w:t xml:space="preserve">7 </w:t>
      </w:r>
      <w:r w:rsidRPr="0044472B">
        <w:rPr>
          <w:rFonts w:cs="Arial"/>
        </w:rPr>
        <w:t>(SPCN)</w:t>
      </w:r>
    </w:p>
    <w:p w14:paraId="2A4755AB" w14:textId="77777777" w:rsidR="00BC703F" w:rsidRDefault="00BC703F" w:rsidP="00BC703F">
      <w:pPr>
        <w:autoSpaceDE w:val="0"/>
        <w:autoSpaceDN w:val="0"/>
        <w:adjustRightInd w:val="0"/>
        <w:jc w:val="both"/>
        <w:rPr>
          <w:rFonts w:cs="Arial"/>
        </w:rPr>
      </w:pPr>
    </w:p>
    <w:p w14:paraId="0DAE575F" w14:textId="77777777" w:rsidR="00BC703F" w:rsidRDefault="00BC703F" w:rsidP="00BC703F">
      <w:pPr>
        <w:autoSpaceDE w:val="0"/>
        <w:autoSpaceDN w:val="0"/>
        <w:adjustRightInd w:val="0"/>
        <w:jc w:val="both"/>
        <w:rPr>
          <w:rFonts w:cs="Arial"/>
        </w:rPr>
      </w:pPr>
    </w:p>
    <w:sectPr w:rsidR="00BC703F">
      <w:headerReference w:type="even" r:id="rId13"/>
      <w:headerReference w:type="firs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38F1D" w14:textId="77777777" w:rsidR="00C20D38" w:rsidRDefault="00C20D38">
      <w:r>
        <w:separator/>
      </w:r>
    </w:p>
  </w:endnote>
  <w:endnote w:type="continuationSeparator" w:id="0">
    <w:p w14:paraId="2D79CDF4" w14:textId="77777777" w:rsidR="00C20D38" w:rsidRDefault="00C20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7A551" w14:textId="77777777" w:rsidR="00C20D38" w:rsidRDefault="00C20D38">
      <w:r>
        <w:separator/>
      </w:r>
    </w:p>
  </w:footnote>
  <w:footnote w:type="continuationSeparator" w:id="0">
    <w:p w14:paraId="2D8A0666" w14:textId="77777777" w:rsidR="00C20D38" w:rsidRDefault="00C20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BA8FC" w14:textId="2AD21803" w:rsidR="00D43A24" w:rsidRDefault="00C20D38">
    <w:pPr>
      <w:pStyle w:val="Header"/>
    </w:pPr>
    <w:r>
      <w:rPr>
        <w:noProof/>
      </w:rPr>
      <w:pict w14:anchorId="098E15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13184" o:spid="_x0000_s2050" type="#_x0000_t136" style="position:absolute;margin-left:0;margin-top:0;width:549.9pt;height:10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OBSOLE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A77D1" w14:textId="3C06FAAA" w:rsidR="00D43A24" w:rsidRDefault="00C20D38">
    <w:pPr>
      <w:pStyle w:val="Header"/>
    </w:pPr>
    <w:r>
      <w:rPr>
        <w:noProof/>
      </w:rPr>
      <w:pict w14:anchorId="7185FB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13183" o:spid="_x0000_s2049" type="#_x0000_t136" style="position:absolute;margin-left:0;margin-top:0;width:549.9pt;height:10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OBSOLE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5B9C"/>
    <w:rsid w:val="0001784D"/>
    <w:rsid w:val="00026F26"/>
    <w:rsid w:val="00036A7E"/>
    <w:rsid w:val="00052725"/>
    <w:rsid w:val="00052D99"/>
    <w:rsid w:val="00062167"/>
    <w:rsid w:val="00075E8D"/>
    <w:rsid w:val="000823C5"/>
    <w:rsid w:val="000A4FAD"/>
    <w:rsid w:val="000A67BF"/>
    <w:rsid w:val="000C412B"/>
    <w:rsid w:val="000F089F"/>
    <w:rsid w:val="000F194F"/>
    <w:rsid w:val="000F2F95"/>
    <w:rsid w:val="000F45C5"/>
    <w:rsid w:val="00106854"/>
    <w:rsid w:val="00107AEC"/>
    <w:rsid w:val="00117EF8"/>
    <w:rsid w:val="00130682"/>
    <w:rsid w:val="00141EE3"/>
    <w:rsid w:val="001578C1"/>
    <w:rsid w:val="00173959"/>
    <w:rsid w:val="0018394E"/>
    <w:rsid w:val="00195503"/>
    <w:rsid w:val="001A09AC"/>
    <w:rsid w:val="001A305C"/>
    <w:rsid w:val="001C4040"/>
    <w:rsid w:val="001C5439"/>
    <w:rsid w:val="001D1B0D"/>
    <w:rsid w:val="001E3653"/>
    <w:rsid w:val="001F26BF"/>
    <w:rsid w:val="001F475A"/>
    <w:rsid w:val="001F5799"/>
    <w:rsid w:val="00200A57"/>
    <w:rsid w:val="002147D7"/>
    <w:rsid w:val="002149BE"/>
    <w:rsid w:val="00215F6D"/>
    <w:rsid w:val="0025109E"/>
    <w:rsid w:val="0027108E"/>
    <w:rsid w:val="00287D95"/>
    <w:rsid w:val="00293D6E"/>
    <w:rsid w:val="002A1457"/>
    <w:rsid w:val="002A3B7D"/>
    <w:rsid w:val="002B594E"/>
    <w:rsid w:val="002C0493"/>
    <w:rsid w:val="002D6861"/>
    <w:rsid w:val="002D7FF5"/>
    <w:rsid w:val="002E2BE5"/>
    <w:rsid w:val="0030494D"/>
    <w:rsid w:val="00304D52"/>
    <w:rsid w:val="00307320"/>
    <w:rsid w:val="00322E8B"/>
    <w:rsid w:val="00330195"/>
    <w:rsid w:val="003708A7"/>
    <w:rsid w:val="0038222A"/>
    <w:rsid w:val="00391AE5"/>
    <w:rsid w:val="003A0541"/>
    <w:rsid w:val="003B0B7C"/>
    <w:rsid w:val="003D066E"/>
    <w:rsid w:val="003D0DE2"/>
    <w:rsid w:val="003E3315"/>
    <w:rsid w:val="00400196"/>
    <w:rsid w:val="00407155"/>
    <w:rsid w:val="00413782"/>
    <w:rsid w:val="00432F61"/>
    <w:rsid w:val="00441BCA"/>
    <w:rsid w:val="004425F3"/>
    <w:rsid w:val="0044472B"/>
    <w:rsid w:val="00450017"/>
    <w:rsid w:val="00461FF3"/>
    <w:rsid w:val="00472E9D"/>
    <w:rsid w:val="00477527"/>
    <w:rsid w:val="00480077"/>
    <w:rsid w:val="0048491E"/>
    <w:rsid w:val="00497ADC"/>
    <w:rsid w:val="004B4B71"/>
    <w:rsid w:val="004B6CB8"/>
    <w:rsid w:val="004B7FD4"/>
    <w:rsid w:val="004C068D"/>
    <w:rsid w:val="004C14A1"/>
    <w:rsid w:val="004C3FCE"/>
    <w:rsid w:val="004C58AE"/>
    <w:rsid w:val="004E3AB8"/>
    <w:rsid w:val="004F6C7B"/>
    <w:rsid w:val="00505144"/>
    <w:rsid w:val="00510D35"/>
    <w:rsid w:val="00516FCB"/>
    <w:rsid w:val="00546DC5"/>
    <w:rsid w:val="00547139"/>
    <w:rsid w:val="00574B46"/>
    <w:rsid w:val="00583A3E"/>
    <w:rsid w:val="00586404"/>
    <w:rsid w:val="00586DC9"/>
    <w:rsid w:val="005904D3"/>
    <w:rsid w:val="005A5B11"/>
    <w:rsid w:val="005B2DE5"/>
    <w:rsid w:val="005C108E"/>
    <w:rsid w:val="005C180C"/>
    <w:rsid w:val="005D4900"/>
    <w:rsid w:val="005E309A"/>
    <w:rsid w:val="005F0785"/>
    <w:rsid w:val="00611A7C"/>
    <w:rsid w:val="00622187"/>
    <w:rsid w:val="00626A23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D5153"/>
    <w:rsid w:val="006E439C"/>
    <w:rsid w:val="006F17B7"/>
    <w:rsid w:val="0071701C"/>
    <w:rsid w:val="0072326D"/>
    <w:rsid w:val="00724E49"/>
    <w:rsid w:val="00725454"/>
    <w:rsid w:val="00731CE8"/>
    <w:rsid w:val="00734D62"/>
    <w:rsid w:val="0074414C"/>
    <w:rsid w:val="007529EA"/>
    <w:rsid w:val="0078729B"/>
    <w:rsid w:val="00796D54"/>
    <w:rsid w:val="0079773E"/>
    <w:rsid w:val="007A334E"/>
    <w:rsid w:val="007B36CA"/>
    <w:rsid w:val="007C3D79"/>
    <w:rsid w:val="007D4C15"/>
    <w:rsid w:val="007F0FD2"/>
    <w:rsid w:val="008239FA"/>
    <w:rsid w:val="00833443"/>
    <w:rsid w:val="00833ACC"/>
    <w:rsid w:val="00862AD9"/>
    <w:rsid w:val="00865A44"/>
    <w:rsid w:val="00866C5C"/>
    <w:rsid w:val="00867F9E"/>
    <w:rsid w:val="008716B8"/>
    <w:rsid w:val="0087278D"/>
    <w:rsid w:val="00880B39"/>
    <w:rsid w:val="008934B1"/>
    <w:rsid w:val="008A00ED"/>
    <w:rsid w:val="008A393C"/>
    <w:rsid w:val="008A523E"/>
    <w:rsid w:val="008D3081"/>
    <w:rsid w:val="008E212E"/>
    <w:rsid w:val="009010A5"/>
    <w:rsid w:val="0090282B"/>
    <w:rsid w:val="00907F87"/>
    <w:rsid w:val="009273FB"/>
    <w:rsid w:val="009304AE"/>
    <w:rsid w:val="009308C8"/>
    <w:rsid w:val="00936B6B"/>
    <w:rsid w:val="00944D71"/>
    <w:rsid w:val="00944F39"/>
    <w:rsid w:val="009544D8"/>
    <w:rsid w:val="0096455F"/>
    <w:rsid w:val="00965CE6"/>
    <w:rsid w:val="009676B5"/>
    <w:rsid w:val="009779CA"/>
    <w:rsid w:val="00985B61"/>
    <w:rsid w:val="00993725"/>
    <w:rsid w:val="009937DE"/>
    <w:rsid w:val="009A5B13"/>
    <w:rsid w:val="009A5EE3"/>
    <w:rsid w:val="009C096B"/>
    <w:rsid w:val="009C6DA2"/>
    <w:rsid w:val="009C782E"/>
    <w:rsid w:val="009D24D6"/>
    <w:rsid w:val="009E6DE6"/>
    <w:rsid w:val="009F3964"/>
    <w:rsid w:val="009F51B1"/>
    <w:rsid w:val="00A00FF3"/>
    <w:rsid w:val="00A0105E"/>
    <w:rsid w:val="00A02BF6"/>
    <w:rsid w:val="00A06350"/>
    <w:rsid w:val="00A1617D"/>
    <w:rsid w:val="00A21ABA"/>
    <w:rsid w:val="00A36364"/>
    <w:rsid w:val="00A41D14"/>
    <w:rsid w:val="00A51519"/>
    <w:rsid w:val="00A61822"/>
    <w:rsid w:val="00A65374"/>
    <w:rsid w:val="00A66530"/>
    <w:rsid w:val="00A75E19"/>
    <w:rsid w:val="00A86396"/>
    <w:rsid w:val="00AA4932"/>
    <w:rsid w:val="00AA49D0"/>
    <w:rsid w:val="00AA5C1E"/>
    <w:rsid w:val="00AB1FD5"/>
    <w:rsid w:val="00AB38F9"/>
    <w:rsid w:val="00AB4D06"/>
    <w:rsid w:val="00AC6038"/>
    <w:rsid w:val="00AC6994"/>
    <w:rsid w:val="00AE3CE1"/>
    <w:rsid w:val="00B03E56"/>
    <w:rsid w:val="00B11F8B"/>
    <w:rsid w:val="00B17C95"/>
    <w:rsid w:val="00B2429A"/>
    <w:rsid w:val="00B26F38"/>
    <w:rsid w:val="00B27C1F"/>
    <w:rsid w:val="00B333C2"/>
    <w:rsid w:val="00B36AE2"/>
    <w:rsid w:val="00B513E5"/>
    <w:rsid w:val="00B52744"/>
    <w:rsid w:val="00B72418"/>
    <w:rsid w:val="00BB2A76"/>
    <w:rsid w:val="00BB3332"/>
    <w:rsid w:val="00BB4600"/>
    <w:rsid w:val="00BC0A28"/>
    <w:rsid w:val="00BC49E3"/>
    <w:rsid w:val="00BC703F"/>
    <w:rsid w:val="00BC7D8C"/>
    <w:rsid w:val="00BE3329"/>
    <w:rsid w:val="00BF6621"/>
    <w:rsid w:val="00C00C30"/>
    <w:rsid w:val="00C011C3"/>
    <w:rsid w:val="00C04527"/>
    <w:rsid w:val="00C20D38"/>
    <w:rsid w:val="00C34BE6"/>
    <w:rsid w:val="00C46D4D"/>
    <w:rsid w:val="00C47AC2"/>
    <w:rsid w:val="00C56BE2"/>
    <w:rsid w:val="00C640E3"/>
    <w:rsid w:val="00C64D5E"/>
    <w:rsid w:val="00C85F30"/>
    <w:rsid w:val="00C927B8"/>
    <w:rsid w:val="00CA5396"/>
    <w:rsid w:val="00CE28D8"/>
    <w:rsid w:val="00CF33D3"/>
    <w:rsid w:val="00D07472"/>
    <w:rsid w:val="00D17E07"/>
    <w:rsid w:val="00D32E49"/>
    <w:rsid w:val="00D37E29"/>
    <w:rsid w:val="00D43A24"/>
    <w:rsid w:val="00D56D33"/>
    <w:rsid w:val="00D706E1"/>
    <w:rsid w:val="00D7425B"/>
    <w:rsid w:val="00D74A4C"/>
    <w:rsid w:val="00D82EF0"/>
    <w:rsid w:val="00D86633"/>
    <w:rsid w:val="00DA60C9"/>
    <w:rsid w:val="00DD28D0"/>
    <w:rsid w:val="00DD55AF"/>
    <w:rsid w:val="00DE2CFE"/>
    <w:rsid w:val="00E049D1"/>
    <w:rsid w:val="00E1261C"/>
    <w:rsid w:val="00E26B85"/>
    <w:rsid w:val="00E26E05"/>
    <w:rsid w:val="00E34EC8"/>
    <w:rsid w:val="00E34F5C"/>
    <w:rsid w:val="00E35C6B"/>
    <w:rsid w:val="00E40855"/>
    <w:rsid w:val="00E52DEB"/>
    <w:rsid w:val="00E67DFC"/>
    <w:rsid w:val="00E75AF1"/>
    <w:rsid w:val="00E91EB6"/>
    <w:rsid w:val="00EB28CC"/>
    <w:rsid w:val="00EE5DE0"/>
    <w:rsid w:val="00EF3457"/>
    <w:rsid w:val="00EF4E5C"/>
    <w:rsid w:val="00F234D3"/>
    <w:rsid w:val="00F37327"/>
    <w:rsid w:val="00F57C89"/>
    <w:rsid w:val="00F67A7B"/>
    <w:rsid w:val="00F84C33"/>
    <w:rsid w:val="00F92FF8"/>
    <w:rsid w:val="00FA4E16"/>
    <w:rsid w:val="00FA57F8"/>
    <w:rsid w:val="00FC3542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85DD69A"/>
  <w15:docId w15:val="{9168121B-17AD-4B7D-879B-E16CC343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q315-070110-01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315-000711-01.doc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315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Asphalt projects where “Rideability” with incentive only adjustments apply (plant mix only).</Usage_x0020_Guidance>
    <Specification_x0020_Category xmlns="0da6ca4d-3636-4380-ae91-0121f7d90329">3 Roadway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cq315-000711-01</Specification_x0020_Number>
    <Status xmlns="0da6ca4d-3636-4380-ae91-0121f7d90329">Active</Status>
    <Div xmlns="0da6ca4d-3636-4380-ae91-0121f7d90329">III</Div>
    <Replaced_x0020_By xmlns="0da6ca4d-3636-4380-ae91-0121f7d90329">Current</Replaced_x0020_By>
    <Replaces xmlns="0da6ca4d-3636-4380-ae91-0121f7d90329">cq315-070110-00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Any; NOT ASW</Use_x0020__x002d__x0020_Not_x0020_All_x0020__x0028_Specify_x0029_>
    <On_x0020_Pick_x002d_List xmlns="0da6ca4d-3636-4380-ae91-0121f7d90329">false</On_x0020_Pick_x002d_List>
    <C_x0020__x0026__x0020_R_x0020_Date xmlns="0da6ca4d-3636-4380-ae91-0121f7d90329">2017-11-07T05:00:00+00:00</C_x0020__x0026__x0020_R_x0020_Date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76BE86E4-D14F-400D-A293-0D9AA3AFCC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315—ASPHALT CONCRETE PAVEMENT (Rideability when THMACO Used) 7-12-16</vt:lpstr>
    </vt:vector>
  </TitlesOfParts>
  <Company>VDOT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RIDEABILITY FOR ASPHALT CONCRETE PAVEMENT (INCENTIVE ONLY) 9-20-17</dc:title>
  <dc:creator>vdot</dc:creator>
  <cp:lastModifiedBy>Gayle, David W. (VDOT)</cp:lastModifiedBy>
  <cp:revision>224</cp:revision>
  <dcterms:created xsi:type="dcterms:W3CDTF">2015-10-15T17:45:00Z</dcterms:created>
  <dcterms:modified xsi:type="dcterms:W3CDTF">2018-12-19T16:12:00Z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315</vt:lpwstr>
  </property>
  <property fmtid="{D5CDD505-2E9C-101B-9397-08002B2CF9AE}" pid="46" name="Specification Category">
    <vt:lpwstr>2</vt:lpwstr>
  </property>
  <property fmtid="{D5CDD505-2E9C-101B-9397-08002B2CF9AE}" pid="47" name="Usage Guidance">
    <vt:lpwstr>Asphalt projects where “Thin Hot Mix Asphalt Concrete Overlay” is used and “Rideability” applies (plant mix only).{2007-cu315000a}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cq315-070100-00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2016-10-04T04:00:00Z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https://outsidevdot.cov.virginia.gov/P0JQP/2016_Standard_Specifications/Forms/PLGG.aspx?View={059C9ADD-1EEB-4E46-8248-51123B71B3E6}&amp;FilterField1=ID&amp;FilterValue1=1661, G</vt:lpwstr>
  </property>
</Properties>
</file>