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F6263" w14:textId="77777777" w:rsidR="00407CC1" w:rsidRDefault="00407CC1" w:rsidP="00407CC1">
      <w:pPr>
        <w:spacing w:after="0" w:line="240" w:lineRule="auto"/>
        <w:jc w:val="both"/>
        <w:rPr>
          <w:rFonts w:eastAsia="Calibri" w:cs="Arial"/>
          <w:szCs w:val="20"/>
        </w:rPr>
      </w:pPr>
    </w:p>
    <w:p w14:paraId="14DE66E1" w14:textId="77777777" w:rsidR="00407CC1" w:rsidRPr="00407CC1" w:rsidRDefault="00407CC1" w:rsidP="00407CC1">
      <w:pPr>
        <w:spacing w:after="0" w:line="240" w:lineRule="auto"/>
        <w:jc w:val="both"/>
        <w:rPr>
          <w:rFonts w:eastAsia="Calibri" w:cs="Arial"/>
          <w:szCs w:val="20"/>
        </w:rPr>
      </w:pPr>
    </w:p>
    <w:p w14:paraId="472D2927" w14:textId="68996F9D" w:rsidR="000600D8" w:rsidRPr="004C4CCB" w:rsidRDefault="003F6079" w:rsidP="00407CC1">
      <w:pPr>
        <w:spacing w:after="0" w:line="240" w:lineRule="auto"/>
        <w:jc w:val="both"/>
        <w:rPr>
          <w:rFonts w:cs="Arial"/>
          <w:b/>
          <w:vanish/>
          <w:color w:val="FF0000"/>
          <w:szCs w:val="20"/>
        </w:rPr>
      </w:pPr>
      <w:hyperlink r:id="rId7" w:tgtFrame="_top" w:tooltip="DENSITY OF LIGHTWEIGHT CONCRETE 3-5-19 (SPCN) Guidelines -Use with all projects involving concrete." w:history="1">
        <w:proofErr w:type="gramStart"/>
        <w:r w:rsidR="000600D8" w:rsidRPr="004C4CCB">
          <w:rPr>
            <w:rFonts w:cs="Arial"/>
            <w:b/>
            <w:vanish/>
            <w:color w:val="FF0000"/>
            <w:szCs w:val="18"/>
            <w:u w:val="single"/>
          </w:rPr>
          <w:t>cq217-000100-00</w:t>
        </w:r>
        <w:proofErr w:type="gramEnd"/>
      </w:hyperlink>
    </w:p>
    <w:p w14:paraId="74E47491" w14:textId="48C4F664" w:rsidR="003137A7" w:rsidRPr="004C4CCB" w:rsidRDefault="003137A7" w:rsidP="00407CC1">
      <w:pPr>
        <w:spacing w:after="0" w:line="240" w:lineRule="auto"/>
        <w:jc w:val="both"/>
        <w:rPr>
          <w:rFonts w:cs="Arial"/>
          <w:vanish/>
          <w:color w:val="FF0000"/>
          <w:szCs w:val="20"/>
        </w:rPr>
      </w:pPr>
      <w:r w:rsidRPr="004C4CCB">
        <w:rPr>
          <w:rFonts w:cs="Arial"/>
          <w:b/>
          <w:vanish/>
          <w:color w:val="FF0000"/>
          <w:szCs w:val="20"/>
        </w:rPr>
        <w:t>Guidelines:</w:t>
      </w:r>
      <w:r w:rsidRPr="004C4CCB">
        <w:rPr>
          <w:rFonts w:cs="Arial"/>
          <w:vanish/>
          <w:color w:val="FF0000"/>
          <w:szCs w:val="20"/>
        </w:rPr>
        <w:t xml:space="preserve"> For use on all projects where concrete is used.</w:t>
      </w:r>
    </w:p>
    <w:p w14:paraId="38781D97" w14:textId="77777777" w:rsidR="00407CC1" w:rsidRPr="000600D8" w:rsidRDefault="00407CC1" w:rsidP="00407CC1">
      <w:pPr>
        <w:spacing w:after="0" w:line="240" w:lineRule="auto"/>
        <w:jc w:val="both"/>
        <w:rPr>
          <w:rFonts w:cs="Arial"/>
          <w:vanish/>
          <w:color w:val="FF0000"/>
          <w:szCs w:val="20"/>
        </w:rPr>
      </w:pPr>
    </w:p>
    <w:p w14:paraId="4B0AF85A" w14:textId="19E69C30" w:rsidR="003137A7" w:rsidRDefault="00407CC1" w:rsidP="00407CC1">
      <w:pPr>
        <w:spacing w:after="0" w:line="240" w:lineRule="auto"/>
        <w:jc w:val="both"/>
        <w:rPr>
          <w:rFonts w:cs="Arial"/>
          <w:b/>
          <w:szCs w:val="20"/>
        </w:rPr>
      </w:pPr>
      <w:bookmarkStart w:id="0" w:name="_GoBack"/>
      <w:bookmarkEnd w:id="0"/>
      <w:r w:rsidRPr="00407CC1">
        <w:rPr>
          <w:rFonts w:cs="Arial"/>
          <w:b/>
          <w:szCs w:val="20"/>
        </w:rPr>
        <w:t>DENSITY OF LIGHTWEIGHT CONCRETE</w:t>
      </w:r>
      <w:r w:rsidR="003137A7" w:rsidRPr="00407CC1">
        <w:rPr>
          <w:rFonts w:cs="Arial"/>
          <w:b/>
          <w:szCs w:val="20"/>
        </w:rPr>
        <w:fldChar w:fldCharType="begin"/>
      </w:r>
      <w:r w:rsidR="003137A7" w:rsidRPr="00407CC1">
        <w:rPr>
          <w:rFonts w:cs="Arial"/>
          <w:szCs w:val="20"/>
        </w:rPr>
        <w:instrText xml:space="preserve"> TC "</w:instrText>
      </w:r>
      <w:bookmarkStart w:id="1" w:name="_Toc447708149"/>
      <w:bookmarkStart w:id="2" w:name="_Toc448144521"/>
      <w:r w:rsidRPr="00407CC1">
        <w:rPr>
          <w:rFonts w:cs="Arial"/>
          <w:b/>
          <w:szCs w:val="20"/>
        </w:rPr>
        <w:instrText>DENSITY OF LIGHTWEIGHT CONCRETE</w:instrText>
      </w:r>
      <w:r w:rsidR="003137A7" w:rsidRPr="00407CC1">
        <w:rPr>
          <w:rFonts w:cs="Arial"/>
          <w:szCs w:val="20"/>
        </w:rPr>
        <w:instrText xml:space="preserve"> </w:instrText>
      </w:r>
      <w:bookmarkEnd w:id="1"/>
      <w:bookmarkEnd w:id="2"/>
      <w:r>
        <w:rPr>
          <w:rFonts w:cs="Arial"/>
          <w:szCs w:val="20"/>
        </w:rPr>
        <w:instrText xml:space="preserve"> </w:instrText>
      </w:r>
      <w:r w:rsidR="003137A7" w:rsidRPr="00407CC1">
        <w:rPr>
          <w:rFonts w:cs="Arial"/>
          <w:szCs w:val="20"/>
        </w:rPr>
        <w:instrText xml:space="preserve"> 3-5-19 </w:instrText>
      </w:r>
      <w:r w:rsidR="00243779">
        <w:rPr>
          <w:rFonts w:cs="Arial"/>
          <w:szCs w:val="20"/>
        </w:rPr>
        <w:instrText>(SPCN)</w:instrText>
      </w:r>
      <w:r w:rsidR="003137A7" w:rsidRPr="00407CC1">
        <w:rPr>
          <w:rFonts w:cs="Arial"/>
          <w:szCs w:val="20"/>
        </w:rPr>
        <w:instrText xml:space="preserve">" \f C \l "1" </w:instrText>
      </w:r>
      <w:r w:rsidR="003137A7" w:rsidRPr="00407CC1">
        <w:rPr>
          <w:rFonts w:cs="Arial"/>
          <w:b/>
          <w:szCs w:val="20"/>
        </w:rPr>
        <w:fldChar w:fldCharType="end"/>
      </w:r>
    </w:p>
    <w:p w14:paraId="5CF8D94A" w14:textId="77777777" w:rsidR="00407CC1" w:rsidRPr="00407CC1" w:rsidRDefault="00407CC1" w:rsidP="00407CC1">
      <w:pPr>
        <w:spacing w:after="0" w:line="240" w:lineRule="auto"/>
        <w:jc w:val="both"/>
        <w:rPr>
          <w:rFonts w:cs="Arial"/>
          <w:szCs w:val="20"/>
        </w:rPr>
      </w:pPr>
    </w:p>
    <w:p w14:paraId="1E3B88A4" w14:textId="11718514" w:rsidR="00403B21" w:rsidRPr="00407CC1" w:rsidRDefault="003137A7" w:rsidP="00407CC1">
      <w:pPr>
        <w:spacing w:after="0" w:line="240" w:lineRule="auto"/>
        <w:ind w:left="360"/>
        <w:jc w:val="both"/>
        <w:rPr>
          <w:rFonts w:cs="Arial"/>
          <w:szCs w:val="20"/>
        </w:rPr>
      </w:pPr>
      <w:r w:rsidRPr="00407CC1">
        <w:rPr>
          <w:rFonts w:cs="Arial"/>
          <w:b/>
          <w:szCs w:val="20"/>
        </w:rPr>
        <w:t>Section 217.12</w:t>
      </w:r>
      <w:r w:rsidRPr="000509CC">
        <w:rPr>
          <w:rFonts w:cs="Arial"/>
          <w:szCs w:val="20"/>
        </w:rPr>
        <w:t>(b)</w:t>
      </w:r>
      <w:r w:rsidRPr="00407CC1">
        <w:rPr>
          <w:rFonts w:cs="Arial"/>
          <w:b/>
          <w:szCs w:val="20"/>
        </w:rPr>
        <w:t xml:space="preserve"> </w:t>
      </w:r>
      <w:proofErr w:type="gramStart"/>
      <w:r w:rsidR="00403B21" w:rsidRPr="00407CC1">
        <w:rPr>
          <w:rFonts w:cs="Arial"/>
          <w:szCs w:val="20"/>
        </w:rPr>
        <w:t>is amended</w:t>
      </w:r>
      <w:proofErr w:type="gramEnd"/>
      <w:r w:rsidR="00403B21" w:rsidRPr="00407CC1">
        <w:rPr>
          <w:rFonts w:cs="Arial"/>
          <w:szCs w:val="20"/>
        </w:rPr>
        <w:t xml:space="preserve"> by replacing the third paragraph with the following:</w:t>
      </w:r>
    </w:p>
    <w:p w14:paraId="663E9F21" w14:textId="77777777" w:rsidR="00407CC1" w:rsidRDefault="00407CC1" w:rsidP="00407CC1">
      <w:pPr>
        <w:spacing w:after="0" w:line="240" w:lineRule="auto"/>
        <w:ind w:left="720"/>
        <w:jc w:val="both"/>
        <w:rPr>
          <w:rFonts w:eastAsia="Calibri" w:cs="Arial"/>
          <w:szCs w:val="20"/>
        </w:rPr>
      </w:pPr>
    </w:p>
    <w:p w14:paraId="1E3B88A5" w14:textId="43852739" w:rsidR="00403B21" w:rsidRPr="00407CC1" w:rsidRDefault="00403B21" w:rsidP="00407CC1">
      <w:pPr>
        <w:spacing w:after="0" w:line="240" w:lineRule="auto"/>
        <w:ind w:left="720"/>
        <w:jc w:val="both"/>
        <w:rPr>
          <w:rFonts w:eastAsia="Calibri" w:cs="Arial"/>
          <w:szCs w:val="20"/>
        </w:rPr>
      </w:pPr>
      <w:r w:rsidRPr="00407CC1">
        <w:rPr>
          <w:rFonts w:eastAsia="Calibri" w:cs="Arial"/>
          <w:szCs w:val="20"/>
        </w:rPr>
        <w:t>Maximum density of freshly mixed lightweight concrete, when tested according</w:t>
      </w:r>
      <w:r w:rsidR="0012384E" w:rsidRPr="00407CC1">
        <w:rPr>
          <w:rFonts w:eastAsia="Calibri" w:cs="Arial"/>
          <w:szCs w:val="20"/>
        </w:rPr>
        <w:t xml:space="preserve"> to ASTM C138, shall be 120 </w:t>
      </w:r>
      <w:proofErr w:type="spellStart"/>
      <w:r w:rsidR="0012384E" w:rsidRPr="00407CC1">
        <w:rPr>
          <w:rFonts w:eastAsia="Calibri" w:cs="Arial"/>
          <w:szCs w:val="20"/>
        </w:rPr>
        <w:t>lbs</w:t>
      </w:r>
      <w:proofErr w:type="spellEnd"/>
      <w:r w:rsidRPr="00407CC1">
        <w:rPr>
          <w:rFonts w:eastAsia="Calibri" w:cs="Arial"/>
          <w:szCs w:val="20"/>
        </w:rPr>
        <w:t>/ft</w:t>
      </w:r>
      <w:r w:rsidR="0012384E" w:rsidRPr="00407CC1">
        <w:rPr>
          <w:rFonts w:eastAsia="Calibri" w:cs="Arial"/>
          <w:szCs w:val="20"/>
        </w:rPr>
        <w:t>³</w:t>
      </w:r>
      <w:r w:rsidRPr="00407CC1">
        <w:rPr>
          <w:rFonts w:eastAsia="Calibri" w:cs="Arial"/>
          <w:szCs w:val="20"/>
        </w:rPr>
        <w:t xml:space="preserve">, or as specified on the </w:t>
      </w:r>
      <w:r w:rsidR="003137A7" w:rsidRPr="00407CC1">
        <w:rPr>
          <w:rFonts w:eastAsia="Calibri" w:cs="Arial"/>
          <w:szCs w:val="20"/>
        </w:rPr>
        <w:t>Plans.</w:t>
      </w:r>
    </w:p>
    <w:p w14:paraId="2387488A" w14:textId="77777777" w:rsidR="00407CC1" w:rsidRDefault="00407CC1" w:rsidP="00407CC1">
      <w:pPr>
        <w:spacing w:after="0" w:line="240" w:lineRule="auto"/>
        <w:jc w:val="both"/>
        <w:rPr>
          <w:rFonts w:eastAsia="Calibri" w:cs="Arial"/>
          <w:szCs w:val="20"/>
        </w:rPr>
      </w:pPr>
    </w:p>
    <w:p w14:paraId="0A16CE9A" w14:textId="51B4E378" w:rsidR="003137A7" w:rsidRDefault="003137A7" w:rsidP="00407CC1">
      <w:pPr>
        <w:spacing w:after="0" w:line="240" w:lineRule="auto"/>
        <w:jc w:val="both"/>
        <w:rPr>
          <w:rFonts w:eastAsia="Calibri" w:cs="Arial"/>
          <w:szCs w:val="20"/>
        </w:rPr>
      </w:pPr>
      <w:r w:rsidRPr="00407CC1">
        <w:rPr>
          <w:rFonts w:eastAsia="Calibri" w:cs="Arial"/>
          <w:szCs w:val="20"/>
        </w:rPr>
        <w:t>3-5-19 (SPCN)</w:t>
      </w:r>
    </w:p>
    <w:p w14:paraId="0861502C" w14:textId="184D6487" w:rsidR="00407CC1" w:rsidRDefault="00407CC1" w:rsidP="00407CC1">
      <w:pPr>
        <w:spacing w:after="0" w:line="240" w:lineRule="auto"/>
        <w:jc w:val="both"/>
        <w:rPr>
          <w:rFonts w:eastAsia="Calibri" w:cs="Arial"/>
          <w:szCs w:val="20"/>
        </w:rPr>
      </w:pPr>
    </w:p>
    <w:p w14:paraId="6C165FE3" w14:textId="77777777" w:rsidR="00407CC1" w:rsidRPr="00407CC1" w:rsidRDefault="00407CC1" w:rsidP="008A57F7">
      <w:pPr>
        <w:spacing w:after="0" w:line="240" w:lineRule="auto"/>
        <w:jc w:val="both"/>
        <w:rPr>
          <w:rFonts w:eastAsia="Calibri" w:cs="Arial"/>
          <w:szCs w:val="20"/>
        </w:rPr>
      </w:pPr>
    </w:p>
    <w:sectPr w:rsidR="00407CC1" w:rsidRPr="00407C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36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B21"/>
    <w:rsid w:val="000509CC"/>
    <w:rsid w:val="000600D8"/>
    <w:rsid w:val="0012384E"/>
    <w:rsid w:val="002044B8"/>
    <w:rsid w:val="00235133"/>
    <w:rsid w:val="00243779"/>
    <w:rsid w:val="003137A7"/>
    <w:rsid w:val="00364F09"/>
    <w:rsid w:val="00403B21"/>
    <w:rsid w:val="00407CC1"/>
    <w:rsid w:val="00466345"/>
    <w:rsid w:val="004C4CCB"/>
    <w:rsid w:val="006276A5"/>
    <w:rsid w:val="007317EA"/>
    <w:rsid w:val="008A57F7"/>
    <w:rsid w:val="0098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B88A4"/>
  <w15:chartTrackingRefBased/>
  <w15:docId w15:val="{31214E0C-C0EE-42A3-86ED-ACBC9621B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0D8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137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37A7"/>
    <w:pPr>
      <w:spacing w:after="200"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37A7"/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7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7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outsidevdot.cov.virginia.gov/P0JQP/2016_Standard_Specifications/cq217-00010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xpiration_x0020_Date0 xmlns="0da6ca4d-3636-4380-ae91-0121f7d90329">5555-05-05T04:00:00+00:00</Expiration_x0020_Date0>
    <Web_x0020_List xmlns="0da6ca4d-3636-4380-ae91-0121f7d90329">true</Web_x0020_List>
    <Sect xmlns="0da6ca4d-3636-4380-ae91-0121f7d90329">217</Sect>
    <Advertisement xmlns="0da6ca4d-3636-4380-ae91-0121f7d90329">2019-06-11T04:00:00+00:00</Advertisement>
    <Usage_x0020_Guidance xmlns="0da6ca4d-3636-4380-ae91-0121f7d90329">Use with all projects involving concrete.</Usage_x0020_Guidance>
    <Contains_x0020_Fields xmlns="0da6ca4d-3636-4380-ae91-0121f7d90329">No</Contains_x0020_Fields>
    <Specification_x0020_Number xmlns="0da6ca4d-3636-4380-ae91-0121f7d90329">cq217-000100-00</Specification_x0020_Number>
    <Pick_x002d_List_x0020_Choice xmlns="0da6ca4d-3636-4380-ae91-0121f7d90329">false</Pick_x002d_List_x0020_Choice>
    <C_x0020__x0026__x0020_R_x0020_Date xmlns="0da6ca4d-3636-4380-ae91-0121f7d90329">5555-05-05T04:00:00+00:00</C_x0020__x0026__x0020_R_x0020_Date>
    <Availability_x0020_Date xmlns="0da6ca4d-3636-4380-ae91-0121f7d90329">2019-05-01T04:00:00+00:00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SPCN</Document_x0020_Type>
    <Replaces xmlns="0da6ca4d-3636-4380-ae91-0121f7d90329">New</Replaces>
    <Correct_x0020__x0026__x0020_Run xmlns="0da6ca4d-3636-4380-ae91-0121f7d90329">Add if it applies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5555-05-05T04:00:00+00:00</Date_x0020_in_x0020_Spec_x0020_Book_x0020_or_x0020_Supplement>
    <Specification_x0020_Category xmlns="0da6ca4d-3636-4380-ae91-0121f7d90329">2 Materials</Specification_x0020_Category>
    <Replaced_x0020_By xmlns="0da6ca4d-3636-4380-ae91-0121f7d90329">Current</Replaced_x0020_By>
    <File_x0020_Extension xmlns="0da6ca4d-3636-4380-ae91-0121f7d90329" xsi:nil="true"/>
    <Div xmlns="0da6ca4d-3636-4380-ae91-0121f7d90329">II</Div>
    <Lists_x0020__x0028_Specify_x0020_Other_x0029_ xmlns="0da6ca4d-3636-4380-ae91-0121f7d90329">None</Lists_x0020__x0028_Specify_x0020_Other_x0029_>
    <Status xmlns="0da6ca4d-3636-4380-ae91-0121f7d90329">Active</Status>
    <Choice xmlns="0da6ca4d-3636-4380-ae91-0121f7d90329">true</Choi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A82661-126F-4917-B61A-63CFB1E55B7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0da6ca4d-3636-4380-ae91-0121f7d90329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B8DB552-196A-4B20-8A5B-26F9DDEE65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FB9127-7385-4CD5-866A-E79520267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DENSITY OF LIGHTWEIGHT CONCRETE   3-5-19 (SPCN)</dc:title>
  <dc:subject/>
  <dc:creator>Hudson, William A. "Ashby" (VDOT)</dc:creator>
  <cp:keywords/>
  <dc:description/>
  <cp:lastModifiedBy>Gayle, David W. (VDOT)</cp:lastModifiedBy>
  <cp:revision>15</cp:revision>
  <dcterms:created xsi:type="dcterms:W3CDTF">2019-03-05T15:07:00Z</dcterms:created>
  <dcterms:modified xsi:type="dcterms:W3CDTF">2019-07-15T17:55:00Z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Order">
    <vt:r8>197800</vt:r8>
  </property>
</Properties>
</file>