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4C704" w14:textId="2ABC181D" w:rsidR="00AF5109" w:rsidRDefault="0001553A" w:rsidP="00AF5109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</w:rPr>
      </w:pPr>
      <w:hyperlink r:id="rId8" w:tooltip="SECTION 204—STONE FOR MASONRY, RIPRAP, POROUS BACKFILL, AND GABIONS 2-22-19 Guidelines -For projects requiring stone for masonry, riprap, porous backfill &amp; gabions." w:history="1">
        <w:r w:rsidRPr="0042124C">
          <w:rPr>
            <w:rFonts w:ascii="Arial" w:hAnsi="Arial" w:cs="Arial"/>
            <w:b/>
            <w:color w:val="0000FF"/>
            <w:sz w:val="20"/>
            <w:szCs w:val="20"/>
            <w:u w:val="single"/>
          </w:rPr>
          <w:t>SS204-002016-01</w:t>
        </w:r>
      </w:hyperlink>
      <w:r w:rsidR="00AF5109" w:rsidRPr="0042124C">
        <w:rPr>
          <w:rStyle w:val="A2"/>
          <w:rFonts w:ascii="Arial" w:hAnsi="Arial" w:cs="Arial"/>
          <w:b w:val="0"/>
        </w:rPr>
        <w:tab/>
        <w:t>February 22, 201</w:t>
      </w:r>
      <w:r w:rsidR="00CF6C6D" w:rsidRPr="0042124C">
        <w:rPr>
          <w:rStyle w:val="A2"/>
          <w:rFonts w:ascii="Arial" w:hAnsi="Arial" w:cs="Arial"/>
          <w:b w:val="0"/>
        </w:rPr>
        <w:t>9</w:t>
      </w:r>
      <w:bookmarkStart w:id="0" w:name="_GoBack"/>
      <w:bookmarkEnd w:id="0"/>
    </w:p>
    <w:p w14:paraId="1D8785A8" w14:textId="33180FA3" w:rsidR="00AF5109" w:rsidRDefault="00AF5109" w:rsidP="00AF5109">
      <w:pPr>
        <w:pStyle w:val="Defaul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VIRGINIA DEPARTMENT OF TRANSPORTATION</w:t>
      </w:r>
    </w:p>
    <w:p w14:paraId="3D1CB123" w14:textId="7DA9D6E9" w:rsidR="00AF5109" w:rsidRPr="00AF5109" w:rsidRDefault="00AF5109" w:rsidP="00AF5109">
      <w:pPr>
        <w:pStyle w:val="Defaul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2016 ROAD AND BRIDGE SUPPLEMENTAL SPECIFICATIONS</w:t>
      </w:r>
    </w:p>
    <w:p w14:paraId="11A4EAD7" w14:textId="5A307121" w:rsidR="007F4054" w:rsidRPr="00CF6C6D" w:rsidRDefault="007F4054" w:rsidP="00AF5109">
      <w:pPr>
        <w:pStyle w:val="Pa0"/>
        <w:spacing w:after="240"/>
        <w:jc w:val="center"/>
        <w:rPr>
          <w:rFonts w:ascii="Arial" w:hAnsi="Arial" w:cs="Arial"/>
          <w:sz w:val="16"/>
          <w:szCs w:val="20"/>
        </w:rPr>
      </w:pPr>
      <w:r>
        <w:rPr>
          <w:rStyle w:val="A2"/>
          <w:rFonts w:ascii="Arial" w:hAnsi="Arial" w:cs="Arial"/>
        </w:rPr>
        <w:t xml:space="preserve">SECTION 204 – </w:t>
      </w:r>
      <w:r w:rsidRPr="007F4054">
        <w:rPr>
          <w:rStyle w:val="A2"/>
          <w:rFonts w:ascii="Arial" w:hAnsi="Arial" w:cs="Arial"/>
        </w:rPr>
        <w:t>STONE FOR MASONRY, RIPRAP, POROUS BACKFILL, AND GABIONS</w:t>
      </w:r>
      <w:r w:rsidR="00CF6C6D" w:rsidRPr="00CF6C6D">
        <w:rPr>
          <w:rFonts w:ascii="Arial" w:hAnsi="Arial" w:cs="Arial"/>
          <w:b/>
          <w:sz w:val="20"/>
        </w:rPr>
        <w:fldChar w:fldCharType="begin"/>
      </w:r>
      <w:r w:rsidR="00CF6C6D" w:rsidRPr="00CF6C6D">
        <w:rPr>
          <w:rFonts w:ascii="Arial" w:hAnsi="Arial" w:cs="Arial"/>
          <w:sz w:val="20"/>
        </w:rPr>
        <w:instrText xml:space="preserve"> TC "</w:instrText>
      </w:r>
      <w:bookmarkStart w:id="1" w:name="_Toc447708149"/>
      <w:bookmarkStart w:id="2" w:name="_Toc448144521"/>
      <w:r w:rsidR="00CF6C6D" w:rsidRPr="00CF6C6D">
        <w:rPr>
          <w:rStyle w:val="A2"/>
          <w:rFonts w:ascii="Arial" w:hAnsi="Arial" w:cs="Arial"/>
        </w:rPr>
        <w:instrText xml:space="preserve"> </w:instrText>
      </w:r>
      <w:r w:rsidR="00CF6C6D">
        <w:rPr>
          <w:rStyle w:val="A2"/>
          <w:rFonts w:ascii="Arial" w:hAnsi="Arial" w:cs="Arial"/>
        </w:rPr>
        <w:instrText>SS204-002016-01*</w:instrText>
      </w:r>
      <w:r w:rsidR="00CF6C6D" w:rsidRPr="00CF6C6D">
        <w:rPr>
          <w:rFonts w:ascii="Arial" w:hAnsi="Arial" w:cs="Arial"/>
          <w:spacing w:val="-3"/>
          <w:sz w:val="20"/>
        </w:rPr>
        <w:instrText>   </w:instrText>
      </w:r>
      <w:r w:rsidR="00CF6C6D">
        <w:rPr>
          <w:rFonts w:ascii="Arial" w:hAnsi="Arial" w:cs="Arial"/>
          <w:b/>
          <w:sz w:val="20"/>
          <w:szCs w:val="20"/>
        </w:rPr>
        <w:instrText>SEC. 204 – STONE FOR MASONRY, ETC.</w:instrText>
      </w:r>
      <w:r w:rsidR="00CF6C6D" w:rsidRPr="00CF6C6D">
        <w:rPr>
          <w:rFonts w:ascii="Arial" w:hAnsi="Arial" w:cs="Arial"/>
          <w:sz w:val="20"/>
        </w:rPr>
        <w:instrText xml:space="preserve">  </w:instrText>
      </w:r>
      <w:bookmarkEnd w:id="1"/>
      <w:bookmarkEnd w:id="2"/>
      <w:r w:rsidR="00CF6C6D">
        <w:rPr>
          <w:rFonts w:ascii="Arial" w:hAnsi="Arial" w:cs="Arial"/>
          <w:sz w:val="20"/>
        </w:rPr>
        <w:instrText>2-22-19</w:instrText>
      </w:r>
      <w:r w:rsidR="00CF6C6D" w:rsidRPr="00CF6C6D">
        <w:rPr>
          <w:rFonts w:ascii="Arial" w:hAnsi="Arial" w:cs="Arial"/>
          <w:sz w:val="20"/>
        </w:rPr>
        <w:instrText xml:space="preserve"> </w:instrText>
      </w:r>
      <w:proofErr w:type="gramStart"/>
      <w:r w:rsidR="00CF6C6D" w:rsidRPr="00CF6C6D">
        <w:rPr>
          <w:rFonts w:ascii="Arial" w:hAnsi="Arial" w:cs="Arial"/>
          <w:sz w:val="20"/>
        </w:rPr>
        <w:instrText>" \</w:instrText>
      </w:r>
      <w:proofErr w:type="gramEnd"/>
      <w:r w:rsidR="00CF6C6D" w:rsidRPr="00CF6C6D">
        <w:rPr>
          <w:rFonts w:ascii="Arial" w:hAnsi="Arial" w:cs="Arial"/>
          <w:sz w:val="20"/>
        </w:rPr>
        <w:instrText xml:space="preserve">f C \l "1" </w:instrText>
      </w:r>
      <w:r w:rsidR="00CF6C6D" w:rsidRPr="00CF6C6D">
        <w:rPr>
          <w:rFonts w:ascii="Arial" w:hAnsi="Arial" w:cs="Arial"/>
          <w:b/>
          <w:sz w:val="20"/>
        </w:rPr>
        <w:fldChar w:fldCharType="end"/>
      </w:r>
      <w:r w:rsidRPr="00CF6C6D">
        <w:rPr>
          <w:rStyle w:val="A2"/>
          <w:rFonts w:ascii="Arial" w:hAnsi="Arial" w:cs="Arial"/>
          <w:sz w:val="16"/>
        </w:rPr>
        <w:t xml:space="preserve"> </w:t>
      </w:r>
    </w:p>
    <w:p w14:paraId="78046989" w14:textId="0C2E40C2" w:rsidR="00AF5109" w:rsidRDefault="00AF5109" w:rsidP="007F4054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204 – </w:t>
      </w:r>
      <w:r w:rsidRPr="007F4054">
        <w:rPr>
          <w:rStyle w:val="A2"/>
          <w:rFonts w:ascii="Arial" w:hAnsi="Arial" w:cs="Arial"/>
        </w:rPr>
        <w:t>STONE FOR MASONRY, RIPRAP, POROUS BACKFILL, AND GABIONS</w:t>
      </w:r>
      <w:r w:rsidRPr="007F4054">
        <w:rPr>
          <w:rStyle w:val="A0"/>
          <w:rFonts w:ascii="Arial" w:hAnsi="Arial" w:cs="Arial"/>
          <w:sz w:val="20"/>
          <w:szCs w:val="20"/>
        </w:rPr>
        <w:t xml:space="preserve"> </w:t>
      </w:r>
      <w:r>
        <w:rPr>
          <w:rStyle w:val="A0"/>
          <w:rFonts w:ascii="Arial" w:hAnsi="Arial" w:cs="Arial"/>
          <w:sz w:val="20"/>
          <w:szCs w:val="20"/>
        </w:rPr>
        <w:t>of the Specifications is amended as follows:</w:t>
      </w:r>
    </w:p>
    <w:p w14:paraId="56A3FBDF" w14:textId="140F4C37" w:rsidR="007F4054" w:rsidRPr="00AF5109" w:rsidRDefault="00AF5109" w:rsidP="00AF5109">
      <w:pPr>
        <w:pStyle w:val="Pa1"/>
        <w:spacing w:after="240"/>
        <w:ind w:left="360"/>
        <w:jc w:val="both"/>
        <w:rPr>
          <w:rStyle w:val="A0"/>
          <w:rFonts w:ascii="Arial" w:hAnsi="Arial" w:cs="Arial"/>
          <w:bCs/>
          <w:sz w:val="20"/>
          <w:szCs w:val="20"/>
        </w:rPr>
      </w:pPr>
      <w:r>
        <w:rPr>
          <w:rStyle w:val="A0"/>
          <w:rFonts w:ascii="Arial" w:hAnsi="Arial" w:cs="Arial"/>
          <w:b/>
          <w:bCs/>
          <w:sz w:val="20"/>
          <w:szCs w:val="20"/>
        </w:rPr>
        <w:t xml:space="preserve">Section </w:t>
      </w:r>
      <w:r w:rsidR="007F4054">
        <w:rPr>
          <w:rStyle w:val="A0"/>
          <w:rFonts w:ascii="Arial" w:hAnsi="Arial" w:cs="Arial"/>
          <w:b/>
          <w:bCs/>
          <w:sz w:val="20"/>
          <w:szCs w:val="20"/>
        </w:rPr>
        <w:t>204.02</w:t>
      </w:r>
      <w:r>
        <w:rPr>
          <w:rStyle w:val="A0"/>
          <w:rFonts w:ascii="Arial" w:hAnsi="Arial" w:cs="Arial"/>
          <w:b/>
          <w:bCs/>
          <w:sz w:val="20"/>
          <w:szCs w:val="20"/>
        </w:rPr>
        <w:t>(c)</w:t>
      </w:r>
      <w:r w:rsidR="007F4054">
        <w:rPr>
          <w:rStyle w:val="A0"/>
          <w:rFonts w:ascii="Arial" w:hAnsi="Arial" w:cs="Arial"/>
          <w:b/>
          <w:bCs/>
          <w:sz w:val="20"/>
          <w:szCs w:val="20"/>
        </w:rPr>
        <w:t xml:space="preserve"> – </w:t>
      </w:r>
      <w:r>
        <w:rPr>
          <w:rStyle w:val="A0"/>
          <w:rFonts w:ascii="Arial" w:hAnsi="Arial" w:cs="Arial"/>
          <w:b/>
          <w:bCs/>
          <w:sz w:val="20"/>
          <w:szCs w:val="20"/>
        </w:rPr>
        <w:t>Porous backfill</w:t>
      </w:r>
      <w:r>
        <w:rPr>
          <w:rStyle w:val="A0"/>
          <w:rFonts w:ascii="Arial" w:hAnsi="Arial" w:cs="Arial"/>
          <w:bCs/>
          <w:sz w:val="20"/>
          <w:szCs w:val="20"/>
        </w:rPr>
        <w:t xml:space="preserve"> is replaced with the following:</w:t>
      </w:r>
    </w:p>
    <w:p w14:paraId="26B73C12" w14:textId="0F70E5A5" w:rsidR="007F4054" w:rsidRPr="007F4054" w:rsidRDefault="007F4054" w:rsidP="00AF5109">
      <w:pPr>
        <w:pStyle w:val="Pa1"/>
        <w:spacing w:after="240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7F4054">
        <w:rPr>
          <w:rStyle w:val="A0"/>
          <w:rFonts w:ascii="Arial" w:hAnsi="Arial" w:cs="Arial"/>
          <w:b/>
          <w:bCs/>
          <w:sz w:val="20"/>
          <w:szCs w:val="20"/>
        </w:rPr>
        <w:t xml:space="preserve">Porous backfill </w:t>
      </w:r>
      <w:r w:rsidRPr="007F4054">
        <w:rPr>
          <w:rStyle w:val="A0"/>
          <w:rFonts w:ascii="Arial" w:hAnsi="Arial" w:cs="Arial"/>
          <w:sz w:val="20"/>
          <w:szCs w:val="20"/>
        </w:rPr>
        <w:t>shall be No. 78 or 8</w:t>
      </w:r>
      <w:r w:rsidR="00C922E9">
        <w:rPr>
          <w:rStyle w:val="A0"/>
          <w:rFonts w:ascii="Arial" w:hAnsi="Arial" w:cs="Arial"/>
          <w:sz w:val="20"/>
          <w:szCs w:val="20"/>
        </w:rPr>
        <w:t xml:space="preserve"> aggregate</w:t>
      </w:r>
      <w:r w:rsidRPr="007F4054">
        <w:rPr>
          <w:rStyle w:val="A0"/>
          <w:rFonts w:ascii="Arial" w:hAnsi="Arial" w:cs="Arial"/>
          <w:sz w:val="20"/>
          <w:szCs w:val="20"/>
        </w:rPr>
        <w:t>, a</w:t>
      </w:r>
      <w:r w:rsidR="00C922E9">
        <w:rPr>
          <w:rStyle w:val="A0"/>
          <w:rFonts w:ascii="Arial" w:hAnsi="Arial" w:cs="Arial"/>
          <w:sz w:val="20"/>
          <w:szCs w:val="20"/>
        </w:rPr>
        <w:t>t least</w:t>
      </w:r>
      <w:r w:rsidRPr="007F4054">
        <w:rPr>
          <w:rStyle w:val="A0"/>
          <w:rFonts w:ascii="Arial" w:hAnsi="Arial" w:cs="Arial"/>
          <w:sz w:val="20"/>
          <w:szCs w:val="20"/>
        </w:rPr>
        <w:t xml:space="preserve"> Grade B. Crushed glass meeting the </w:t>
      </w:r>
      <w:proofErr w:type="spellStart"/>
      <w:r w:rsidRPr="007F4054">
        <w:rPr>
          <w:rStyle w:val="A0"/>
          <w:rFonts w:ascii="Arial" w:hAnsi="Arial" w:cs="Arial"/>
          <w:sz w:val="20"/>
          <w:szCs w:val="20"/>
        </w:rPr>
        <w:t>gradation</w:t>
      </w:r>
      <w:proofErr w:type="spellEnd"/>
      <w:r w:rsidRPr="007F4054">
        <w:rPr>
          <w:rStyle w:val="A0"/>
          <w:rFonts w:ascii="Arial" w:hAnsi="Arial" w:cs="Arial"/>
          <w:sz w:val="20"/>
          <w:szCs w:val="20"/>
        </w:rPr>
        <w:t xml:space="preserve"> requirements specified in Section 203.02(d) may be directly substituted fo</w:t>
      </w:r>
      <w:r>
        <w:rPr>
          <w:rStyle w:val="A0"/>
          <w:rFonts w:ascii="Arial" w:hAnsi="Arial" w:cs="Arial"/>
          <w:sz w:val="20"/>
          <w:szCs w:val="20"/>
        </w:rPr>
        <w:t>r No. 78 and 8 aggregates.</w:t>
      </w:r>
      <w:r w:rsidR="00AF5109">
        <w:rPr>
          <w:rStyle w:val="A0"/>
          <w:rFonts w:ascii="Arial" w:hAnsi="Arial" w:cs="Arial"/>
          <w:sz w:val="20"/>
          <w:szCs w:val="20"/>
        </w:rPr>
        <w:t xml:space="preserve"> Lightweight aggregate </w:t>
      </w:r>
      <w:r w:rsidR="00C922E9">
        <w:rPr>
          <w:rStyle w:val="A0"/>
          <w:rFonts w:ascii="Arial" w:hAnsi="Arial" w:cs="Arial"/>
          <w:sz w:val="20"/>
          <w:szCs w:val="20"/>
        </w:rPr>
        <w:t>conforming to</w:t>
      </w:r>
      <w:r w:rsidR="00AF5109">
        <w:rPr>
          <w:rStyle w:val="A0"/>
          <w:rFonts w:ascii="Arial" w:hAnsi="Arial" w:cs="Arial"/>
          <w:sz w:val="20"/>
          <w:szCs w:val="20"/>
        </w:rPr>
        <w:t xml:space="preserve"> Section 206 for coarse aggregate and meeting the </w:t>
      </w:r>
      <w:r w:rsidR="00C922E9">
        <w:rPr>
          <w:rStyle w:val="A0"/>
          <w:rFonts w:ascii="Arial" w:hAnsi="Arial" w:cs="Arial"/>
          <w:sz w:val="20"/>
          <w:szCs w:val="20"/>
        </w:rPr>
        <w:t>3/4-inch</w:t>
      </w:r>
      <w:r w:rsidR="00AF5109">
        <w:rPr>
          <w:rStyle w:val="A0"/>
          <w:rFonts w:ascii="Arial" w:hAnsi="Arial" w:cs="Arial"/>
          <w:sz w:val="20"/>
          <w:szCs w:val="20"/>
        </w:rPr>
        <w:t xml:space="preserve"> or </w:t>
      </w:r>
      <w:r w:rsidR="00C922E9">
        <w:rPr>
          <w:rStyle w:val="A0"/>
          <w:rFonts w:ascii="Arial" w:hAnsi="Arial" w:cs="Arial"/>
          <w:sz w:val="20"/>
          <w:szCs w:val="20"/>
        </w:rPr>
        <w:t>1/2-inch</w:t>
      </w:r>
      <w:r w:rsidR="00AF5109">
        <w:rPr>
          <w:rStyle w:val="A0"/>
          <w:rFonts w:ascii="Arial" w:hAnsi="Arial" w:cs="Arial"/>
          <w:sz w:val="20"/>
          <w:szCs w:val="20"/>
        </w:rPr>
        <w:t xml:space="preserve"> grading in AASHTO M</w:t>
      </w:r>
      <w:r w:rsidR="00C922E9">
        <w:rPr>
          <w:rStyle w:val="A0"/>
          <w:rFonts w:ascii="Arial" w:hAnsi="Arial" w:cs="Arial"/>
          <w:sz w:val="20"/>
          <w:szCs w:val="20"/>
        </w:rPr>
        <w:t xml:space="preserve"> </w:t>
      </w:r>
      <w:r w:rsidR="00AF5109">
        <w:rPr>
          <w:rStyle w:val="A0"/>
          <w:rFonts w:ascii="Arial" w:hAnsi="Arial" w:cs="Arial"/>
          <w:sz w:val="20"/>
          <w:szCs w:val="20"/>
        </w:rPr>
        <w:t>195 may be directly substituted for No. 78 and 8 aggregates.</w:t>
      </w:r>
    </w:p>
    <w:sectPr w:rsidR="007F4054" w:rsidRPr="007F4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7E2"/>
    <w:multiLevelType w:val="multilevel"/>
    <w:tmpl w:val="BE24FC3A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54"/>
    <w:rsid w:val="0001553A"/>
    <w:rsid w:val="00065851"/>
    <w:rsid w:val="002C3456"/>
    <w:rsid w:val="0042124C"/>
    <w:rsid w:val="007F4054"/>
    <w:rsid w:val="00AF5109"/>
    <w:rsid w:val="00BC064E"/>
    <w:rsid w:val="00C922E9"/>
    <w:rsid w:val="00C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60394"/>
  <w15:docId w15:val="{5C179F88-E302-45EB-99CB-C577760B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53A"/>
    <w:rPr>
      <w:rFonts w:ascii="Arial" w:hAnsi="Arial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Default">
    <w:name w:val="Default"/>
    <w:rsid w:val="007F4054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7F4054"/>
    <w:rPr>
      <w:rFonts w:cs="TimesNewRomanPS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7F4054"/>
    <w:rPr>
      <w:rFonts w:cs="TimesNewRomanPS"/>
      <w:color w:val="000000"/>
      <w:sz w:val="18"/>
      <w:szCs w:val="18"/>
    </w:rPr>
  </w:style>
  <w:style w:type="paragraph" w:customStyle="1" w:styleId="Pa1">
    <w:name w:val="Pa1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character" w:styleId="Hyperlink">
    <w:name w:val="Hyperlink"/>
    <w:uiPriority w:val="99"/>
    <w:rsid w:val="000155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55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S204-002016-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204</Sect>
    <Advertisement xmlns="0da6ca4d-3636-4380-ae91-0121f7d90329" xsi:nil="true"/>
    <Usage_x0020_Guidance xmlns="0da6ca4d-3636-4380-ae91-0121f7d90329">For use on all projects.</Usage_x0020_Guidance>
    <Contains_x0020_Fields xmlns="0da6ca4d-3636-4380-ae91-0121f7d90329">No</Contains_x0020_Fields>
    <Specification_x0020_Number xmlns="0da6ca4d-3636-4380-ae91-0121f7d90329">SS204-002016-01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2019-11-27T05:00:00+00:00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77F006-10B8-4589-AEFD-AB77FAC84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2807E-DDDF-41E3-9C2D-C6B44AF75E3A}">
  <ds:schemaRefs>
    <ds:schemaRef ds:uri="http://schemas.microsoft.com/office/2006/metadata/properties"/>
    <ds:schemaRef ds:uri="http://purl.org/dc/elements/1.1/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da6ca4d-3636-4380-ae91-0121f7d90329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0AF612B-46CA-4009-AD6C-1CA8C0A687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Stone for Masonry, Riprap, Porous Backfill, and Gabions</vt:lpstr>
    </vt:vector>
  </TitlesOfParts>
  <Company>Virginia IT Infrastructure Partnership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Stone for Masonry, Riprap, Porous Backfill, and Gabions</dc:title>
  <dc:creator>douglas.mcavoy</dc:creator>
  <cp:lastModifiedBy>Gayle, David W. (VDOT)</cp:lastModifiedBy>
  <cp:revision>5</cp:revision>
  <dcterms:created xsi:type="dcterms:W3CDTF">2019-11-27T16:52:00Z</dcterms:created>
  <dcterms:modified xsi:type="dcterms:W3CDTF">2020-02-19T18:54:00Z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1500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400c9145-7c0c-4438-9c9e-ba7b8f029dd2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/insidevdot/div/sc/Design/Specs/Book|400c9145-7c0c-4438-9c9e-ba7b8f029dd2</vt:lpwstr>
  </property>
  <property fmtid="{D5CDD505-2E9C-101B-9397-08002B2CF9AE}" pid="12" name="_dlc_DocIdUrl">
    <vt:lpwstr>https://insidevdot.cov.virginia.gov/div/sc/Design/Specs/Book/_layouts/DocIdRedir.aspx?ID=%2finsidevdot%2fdiv%2fsc%2fDesign%2fSpecs%2fBook%7c400c9145-7c0c-4438-9c9e-ba7b8f029dd2, /insidevdot/div/sc/Design/Specs/Book|400c9145-7c0c-4438-9c9e-ba7b8f029dd2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BK204-002016-00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204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Add requirements for Lightweight Concrete to the Spec Book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RCP">
    <vt:lpwstr>398;#Babish, Andy P.E. (VDOT)</vt:lpwstr>
  </property>
  <property fmtid="{D5CDD505-2E9C-101B-9397-08002B2CF9AE}" pid="36" name="Doc Type">
    <vt:lpwstr>Specification</vt:lpwstr>
  </property>
</Properties>
</file>