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6302E" w14:textId="0D06B299" w:rsidR="00331352" w:rsidRPr="005D0859" w:rsidRDefault="00C8467E" w:rsidP="00946F8E">
      <w:pPr>
        <w:jc w:val="both"/>
        <w:rPr>
          <w:b/>
          <w:iCs/>
          <w:vanish/>
          <w:color w:val="FF0000"/>
          <w:spacing w:val="-3"/>
        </w:rPr>
      </w:pPr>
      <w:r w:rsidRPr="005D0859">
        <w:fldChar w:fldCharType="begin"/>
      </w:r>
      <w:r w:rsidRPr="005D0859">
        <w:rPr>
          <w:vanish/>
          <w:color w:val="FF0000"/>
        </w:rPr>
        <w:instrText xml:space="preserve"> HYPERLINK "https://outsidevdot.cov.virginia.gov/P0JQP/_layouts/WordViewer.aspx?id=/P0JQP/2016_Standard_Specifications/SQ105-000100-00.docx" \o "PUBLIC NOTIFICATION OF PARKING RESTRICTIONS (Surface Treatment) R-7-12-16 Guidelines-Surface treatment projects where on-street parking is permitted.{2007-SU105002A}" </w:instrText>
      </w:r>
      <w:r w:rsidRPr="005D0859">
        <w:fldChar w:fldCharType="separate"/>
      </w:r>
      <w:r w:rsidRPr="005D0859">
        <w:rPr>
          <w:rStyle w:val="Hyperlink"/>
          <w:b/>
          <w:bCs/>
          <w:vanish/>
          <w:color w:val="FF0000"/>
        </w:rPr>
        <w:t>SQ105-000100-00</w:t>
      </w:r>
      <w:r w:rsidRPr="005D0859">
        <w:rPr>
          <w:rStyle w:val="Hyperlink"/>
          <w:b/>
          <w:bCs/>
          <w:vanish/>
          <w:color w:val="FF0000"/>
        </w:rPr>
        <w:fldChar w:fldCharType="end"/>
      </w:r>
      <w:r w:rsidR="00A71ABB" w:rsidRPr="005D0859">
        <w:rPr>
          <w:spacing w:val="-3"/>
        </w:rPr>
        <w:fldChar w:fldCharType="begin"/>
      </w:r>
      <w:r w:rsidR="00A71ABB" w:rsidRPr="005D0859">
        <w:rPr>
          <w:vanish/>
          <w:color w:val="FF0000"/>
        </w:rPr>
        <w:instrText xml:space="preserve"> HYPERLINK "https://outsidevdot.cov.virginia.gov/P0JQP/_layouts/WordViewer.aspx?id=/P0JQP/2016_Standard_Specifications/SQ105-000100-00.docx" \o "PUBLIC NOTIFICATION OF PARKING RESTRICTIONS (Surface Treatment) R-7-12-16 Guidelines-Surface treatment projects where on-street parking is permitted.{2007-SU105002A}" </w:instrText>
      </w:r>
      <w:r w:rsidR="00A71ABB" w:rsidRPr="005D0859">
        <w:rPr>
          <w:spacing w:val="-3"/>
        </w:rPr>
        <w:fldChar w:fldCharType="separate"/>
      </w:r>
      <w:r w:rsidR="00A71ABB" w:rsidRPr="005D0859">
        <w:rPr>
          <w:rStyle w:val="Hyperlink"/>
          <w:b/>
          <w:bCs/>
          <w:vanish/>
          <w:color w:val="FF0000"/>
        </w:rPr>
        <w:t>SQ105-000100-00</w:t>
      </w:r>
      <w:r w:rsidR="00A71ABB" w:rsidRPr="005D0859">
        <w:rPr>
          <w:rStyle w:val="Hyperlink"/>
          <w:b/>
          <w:bCs/>
          <w:vanish/>
          <w:color w:val="FF0000"/>
        </w:rPr>
        <w:fldChar w:fldCharType="end"/>
      </w:r>
    </w:p>
    <w:p w14:paraId="1DE33B02" w14:textId="02CE3C6B" w:rsidR="00547221" w:rsidRPr="005D0859" w:rsidRDefault="00E94596" w:rsidP="00547221">
      <w:pPr>
        <w:jc w:val="both"/>
        <w:rPr>
          <w:rStyle w:val="Hyperlink"/>
          <w:b/>
          <w:bCs/>
          <w:vanish/>
          <w:color w:val="FF0000"/>
        </w:rPr>
      </w:pPr>
      <w:hyperlink r:id="rId11" w:tooltip="PUBLIC NOTIFICATION OF PARKING RESTRICTIONS (Surface Treatment) R-7-12-16 Guidelines-Surface treatment projects where on-street parking is permitted.{2007-SU105002A}" w:history="1">
        <w:r w:rsidRPr="005D0859">
          <w:rPr>
            <w:rStyle w:val="Hyperlink"/>
            <w:b/>
            <w:bCs/>
            <w:vanish/>
            <w:color w:val="FF0000"/>
          </w:rPr>
          <w:t>SQ105-000</w:t>
        </w:r>
        <w:bookmarkStart w:id="0" w:name="_GoBack"/>
        <w:bookmarkEnd w:id="0"/>
        <w:r w:rsidRPr="005D0859">
          <w:rPr>
            <w:rStyle w:val="Hyperlink"/>
            <w:b/>
            <w:bCs/>
            <w:vanish/>
            <w:color w:val="FF0000"/>
          </w:rPr>
          <w:t>100-00</w:t>
        </w:r>
      </w:hyperlink>
    </w:p>
    <w:p w14:paraId="4A656EB3" w14:textId="63C0B1B6" w:rsidR="005D0859" w:rsidRDefault="00AE3C3E" w:rsidP="00547221">
      <w:pPr>
        <w:jc w:val="both"/>
        <w:rPr>
          <w:vanish/>
          <w:color w:val="FF0000"/>
        </w:rPr>
      </w:pPr>
      <w:r w:rsidRPr="005D0859">
        <w:rPr>
          <w:b/>
          <w:vanish/>
          <w:color w:val="FF0000"/>
          <w:spacing w:val="-3"/>
        </w:rPr>
        <w:t xml:space="preserve">GUIDELINES </w:t>
      </w:r>
      <w:r w:rsidRPr="005D0859">
        <w:rPr>
          <w:vanish/>
          <w:color w:val="FF0000"/>
          <w:spacing w:val="-3"/>
        </w:rPr>
        <w:t>—</w:t>
      </w:r>
      <w:r w:rsidRPr="005D0859">
        <w:rPr>
          <w:b/>
          <w:vanish/>
          <w:color w:val="FF0000"/>
          <w:spacing w:val="-3"/>
        </w:rPr>
        <w:t xml:space="preserve"> </w:t>
      </w:r>
      <w:r w:rsidRPr="005D0859">
        <w:rPr>
          <w:vanish/>
          <w:color w:val="FF0000"/>
        </w:rPr>
        <w:t>Surface treatment projects where on-street parking is permitted.</w:t>
      </w:r>
    </w:p>
    <w:p w14:paraId="726E7439" w14:textId="77777777" w:rsidR="00AE3C3E" w:rsidRPr="005D0859" w:rsidRDefault="00AE3C3E" w:rsidP="00547221">
      <w:pPr>
        <w:jc w:val="both"/>
        <w:rPr>
          <w:vanish/>
          <w:color w:val="FF0000"/>
        </w:rPr>
      </w:pPr>
    </w:p>
    <w:p w14:paraId="315B8169" w14:textId="77777777" w:rsidR="00547221" w:rsidRDefault="00547221" w:rsidP="00547221">
      <w:pPr>
        <w:jc w:val="center"/>
      </w:pPr>
      <w:r>
        <w:t>VIRGINIA DEPARTMENT OF TRANSPORTATION</w:t>
      </w:r>
    </w:p>
    <w:p w14:paraId="1E807023" w14:textId="77777777" w:rsidR="00547221" w:rsidRDefault="00547221" w:rsidP="00547221">
      <w:pPr>
        <w:jc w:val="center"/>
      </w:pPr>
      <w:r>
        <w:t>SPECIAL PROVISION FOR</w:t>
      </w:r>
    </w:p>
    <w:p w14:paraId="405AC422" w14:textId="0C93E233" w:rsidR="00547221" w:rsidRDefault="00547221" w:rsidP="00547221">
      <w:pPr>
        <w:jc w:val="center"/>
        <w:rPr>
          <w:rFonts w:cs="Arial"/>
          <w:b/>
        </w:rPr>
      </w:pPr>
      <w:r>
        <w:rPr>
          <w:rFonts w:cs="Arial"/>
          <w:b/>
        </w:rPr>
        <w:t>PUBLIC NOTIFICATION OF PARKING RESTRICTIONS</w:t>
      </w:r>
      <w:r>
        <w:rPr>
          <w:rFonts w:cs="Arial"/>
          <w:b/>
        </w:rPr>
        <w:fldChar w:fldCharType="begin"/>
      </w:r>
      <w:r>
        <w:instrText xml:space="preserve"> TC "</w:instrText>
      </w:r>
      <w:bookmarkStart w:id="1" w:name="_Toc447870438"/>
      <w:bookmarkStart w:id="2" w:name="_Toc430089700"/>
      <w:bookmarkStart w:id="3" w:name="_Toc432070279"/>
      <w:r>
        <w:rPr>
          <w:rFonts w:cs="Arial"/>
          <w:b/>
        </w:rPr>
        <w:instrText>PUBLIC NOT</w:instrText>
      </w:r>
      <w:r w:rsidR="007D47F1">
        <w:rPr>
          <w:rFonts w:cs="Arial"/>
          <w:b/>
        </w:rPr>
        <w:instrText>ICE</w:instrText>
      </w:r>
      <w:r>
        <w:rPr>
          <w:rFonts w:cs="Arial"/>
          <w:b/>
        </w:rPr>
        <w:instrText xml:space="preserve"> OF PARKING RESTRICTIONS</w:instrText>
      </w:r>
      <w:r>
        <w:rPr>
          <w:rFonts w:cs="Arial"/>
        </w:rPr>
        <w:instrText xml:space="preserve"> (Sur</w:instrText>
      </w:r>
      <w:r w:rsidR="007D47F1">
        <w:rPr>
          <w:rFonts w:cs="Arial"/>
        </w:rPr>
        <w:instrText>.</w:instrText>
      </w:r>
      <w:r>
        <w:rPr>
          <w:rFonts w:cs="Arial"/>
        </w:rPr>
        <w:instrText xml:space="preserve"> Treat</w:instrText>
      </w:r>
      <w:r w:rsidR="007D47F1">
        <w:rPr>
          <w:rFonts w:cs="Arial"/>
        </w:rPr>
        <w:instrText>.</w:instrText>
      </w:r>
      <w:r>
        <w:rPr>
          <w:rFonts w:cs="Arial"/>
        </w:rPr>
        <w:instrText xml:space="preserve">)  </w:instrText>
      </w:r>
      <w:r w:rsidR="00661E2E">
        <w:rPr>
          <w:rFonts w:cs="Arial"/>
        </w:rPr>
        <w:instrText>R-</w:instrText>
      </w:r>
      <w:r w:rsidR="00B340DB">
        <w:rPr>
          <w:rFonts w:cs="Arial"/>
        </w:rPr>
        <w:instrText>7</w:instrText>
      </w:r>
      <w:r>
        <w:rPr>
          <w:rFonts w:cs="Arial"/>
        </w:rPr>
        <w:instrText>-1</w:instrText>
      </w:r>
      <w:r w:rsidR="00B340DB">
        <w:rPr>
          <w:rFonts w:cs="Arial"/>
        </w:rPr>
        <w:instrText>2</w:instrText>
      </w:r>
      <w:r>
        <w:rPr>
          <w:rFonts w:cs="Arial"/>
        </w:rPr>
        <w:instrText>-1</w:instrText>
      </w:r>
      <w:r w:rsidR="00B340DB">
        <w:rPr>
          <w:rFonts w:cs="Arial"/>
        </w:rPr>
        <w:instrText>6</w:instrText>
      </w:r>
      <w:bookmarkEnd w:id="1"/>
      <w:bookmarkEnd w:id="2"/>
      <w:bookmarkEnd w:id="3"/>
      <w:r>
        <w:instrText xml:space="preserve">" \f C \l "1" </w:instrText>
      </w:r>
      <w:r>
        <w:rPr>
          <w:rFonts w:cs="Arial"/>
          <w:b/>
        </w:rPr>
        <w:fldChar w:fldCharType="end"/>
      </w:r>
    </w:p>
    <w:p w14:paraId="7068D6AC" w14:textId="01007495" w:rsidR="00D2102B" w:rsidRDefault="00D2102B" w:rsidP="00547221">
      <w:pPr>
        <w:jc w:val="center"/>
        <w:rPr>
          <w:rFonts w:cs="Arial"/>
          <w:b/>
        </w:rPr>
      </w:pPr>
      <w:r>
        <w:rPr>
          <w:rFonts w:cs="Arial"/>
          <w:b/>
        </w:rPr>
        <w:t>(Surface Treatment)</w:t>
      </w:r>
    </w:p>
    <w:p w14:paraId="752328E3" w14:textId="77777777" w:rsidR="00547221" w:rsidRDefault="00547221" w:rsidP="00547221">
      <w:pPr>
        <w:jc w:val="center"/>
        <w:rPr>
          <w:rFonts w:cs="Arial"/>
          <w:b/>
        </w:rPr>
      </w:pPr>
    </w:p>
    <w:p w14:paraId="60E472D1" w14:textId="45B8B310" w:rsidR="00547221" w:rsidRDefault="00547221" w:rsidP="00547221">
      <w:pPr>
        <w:jc w:val="right"/>
        <w:rPr>
          <w:rFonts w:cs="Arial"/>
        </w:rPr>
      </w:pPr>
      <w:r>
        <w:rPr>
          <w:rFonts w:cs="Arial"/>
        </w:rPr>
        <w:t>August 18, 2015</w:t>
      </w:r>
      <w:r w:rsidR="00661E2E">
        <w:rPr>
          <w:rFonts w:cs="Arial"/>
        </w:rPr>
        <w:t>; Reissued July 12, 2016</w:t>
      </w:r>
      <w:r w:rsidR="001B03DE">
        <w:rPr>
          <w:rFonts w:cs="Arial"/>
        </w:rPr>
        <w:t>_</w:t>
      </w:r>
    </w:p>
    <w:p w14:paraId="37159A69" w14:textId="77777777" w:rsidR="00547221" w:rsidRDefault="00547221" w:rsidP="00547221">
      <w:pPr>
        <w:jc w:val="right"/>
        <w:rPr>
          <w:rFonts w:cs="Arial"/>
        </w:rPr>
      </w:pPr>
    </w:p>
    <w:p w14:paraId="52D189DB" w14:textId="77777777" w:rsidR="00547221" w:rsidRDefault="00547221" w:rsidP="00547221">
      <w:pPr>
        <w:jc w:val="both"/>
        <w:rPr>
          <w:rFonts w:cs="Arial"/>
        </w:rPr>
      </w:pPr>
      <w:r>
        <w:rPr>
          <w:rFonts w:cs="Arial"/>
        </w:rPr>
        <w:t>The Contractor shall be responsible for notifying the public of parking restrictions due to the resurfacing operations scheduled in this contract by distributing door-hangers and erecting “No Parking” signs throughout the subdivision streets affected as follows:</w:t>
      </w:r>
    </w:p>
    <w:p w14:paraId="4BA27CFC" w14:textId="77777777" w:rsidR="00547221" w:rsidRDefault="00547221" w:rsidP="00547221">
      <w:pPr>
        <w:jc w:val="both"/>
        <w:rPr>
          <w:rFonts w:cs="Arial"/>
        </w:rPr>
      </w:pPr>
    </w:p>
    <w:p w14:paraId="33A1B500" w14:textId="77777777" w:rsidR="00547221" w:rsidRDefault="00547221" w:rsidP="00547221">
      <w:pPr>
        <w:ind w:left="1440" w:hanging="720"/>
        <w:jc w:val="both"/>
        <w:rPr>
          <w:rFonts w:cs="Arial"/>
        </w:rPr>
      </w:pPr>
      <w:r>
        <w:rPr>
          <w:rFonts w:cs="Arial"/>
        </w:rPr>
        <w:t>●</w:t>
      </w:r>
      <w:r>
        <w:rPr>
          <w:rFonts w:cs="Arial"/>
        </w:rPr>
        <w:tab/>
        <w:t>A template for printing door-hangers will be provided to the Contractor by the Department.  The Contractor shall make all necessary arrangements to furnish and distribute the printed door-hangers to homes no more than thirty (30) days prior to commencement of work and no less than three (3) days in the affected areas.</w:t>
      </w:r>
    </w:p>
    <w:p w14:paraId="5DA99897" w14:textId="77777777" w:rsidR="00547221" w:rsidRDefault="00547221" w:rsidP="00547221">
      <w:pPr>
        <w:ind w:left="1440" w:hanging="720"/>
        <w:jc w:val="both"/>
        <w:rPr>
          <w:rFonts w:cs="Arial"/>
        </w:rPr>
      </w:pPr>
    </w:p>
    <w:p w14:paraId="4E4FBFA8" w14:textId="77777777" w:rsidR="00547221" w:rsidRDefault="00547221" w:rsidP="00547221">
      <w:pPr>
        <w:ind w:left="1440" w:hanging="720"/>
        <w:jc w:val="both"/>
        <w:rPr>
          <w:rFonts w:cs="Arial"/>
        </w:rPr>
      </w:pPr>
      <w:r>
        <w:rPr>
          <w:rFonts w:cs="Arial"/>
        </w:rPr>
        <w:t>●</w:t>
      </w:r>
      <w:r>
        <w:rPr>
          <w:rFonts w:cs="Arial"/>
        </w:rPr>
        <w:tab/>
        <w:t>A template for furnishing “No Parking” signs will be provided to the Contractor by the Department.  The Contractor shall make all necessary arrangements for furnishing and placing the “No Parking” signs, including posts, for affected homes no more than three (3) working days prior to commencement of work. “No Parking” Signs shall be placed a minimum of 36” off the ground and shall clearly be visible to the public. The Contractor shall install the sign posts using posts of their choosing so long as the “No Parking” Sign is securely mounted and does not result in warping of the sign. The Contractor shall notify the appropriate police department after signs are installed and prior to commencement of work.  If the commencement of work date follows a holiday or weekend, the three (3) working day prior notification requirement shall be in addition to the weekend or holiday.  The period of operations, as designated on the “No Parking” signs, shall not exceed fourteen (14) consecutive calendar days.</w:t>
      </w:r>
    </w:p>
    <w:p w14:paraId="647871F6" w14:textId="77777777" w:rsidR="00547221" w:rsidRDefault="00547221" w:rsidP="00547221">
      <w:pPr>
        <w:jc w:val="both"/>
        <w:rPr>
          <w:rFonts w:cs="Arial"/>
        </w:rPr>
      </w:pPr>
    </w:p>
    <w:p w14:paraId="7BB8D3B7" w14:textId="77777777" w:rsidR="00547221" w:rsidRDefault="00547221" w:rsidP="00547221">
      <w:pPr>
        <w:jc w:val="both"/>
        <w:rPr>
          <w:rFonts w:cs="Arial"/>
        </w:rPr>
      </w:pPr>
      <w:r>
        <w:rPr>
          <w:rFonts w:cs="Arial"/>
        </w:rPr>
        <w:t>The Contractor shall visually inspect the construction site each day after the placement of “No Parking” signs to ensure they are still in place.  Any damaged or missing signs shall be promptly replaced at the Contractors expense.</w:t>
      </w:r>
    </w:p>
    <w:p w14:paraId="7C9EFC27" w14:textId="77777777" w:rsidR="00547221" w:rsidRDefault="00547221" w:rsidP="00547221">
      <w:pPr>
        <w:jc w:val="both"/>
        <w:rPr>
          <w:rFonts w:cs="Arial"/>
        </w:rPr>
      </w:pPr>
    </w:p>
    <w:p w14:paraId="7A3C5AED" w14:textId="77777777" w:rsidR="00547221" w:rsidRDefault="00547221" w:rsidP="00547221">
      <w:pPr>
        <w:jc w:val="both"/>
        <w:rPr>
          <w:rFonts w:cs="Arial"/>
        </w:rPr>
      </w:pPr>
      <w:r>
        <w:rPr>
          <w:rFonts w:cs="Arial"/>
        </w:rPr>
        <w:t>All “No Parking” signs shall be removed and disposed of by the Contractor upon completion of the work.</w:t>
      </w:r>
    </w:p>
    <w:p w14:paraId="7879328D" w14:textId="77777777" w:rsidR="00547221" w:rsidRDefault="00547221" w:rsidP="00547221">
      <w:pPr>
        <w:jc w:val="both"/>
        <w:rPr>
          <w:rFonts w:cs="Arial"/>
        </w:rPr>
      </w:pPr>
    </w:p>
    <w:p w14:paraId="5C95402F" w14:textId="77777777" w:rsidR="00547221" w:rsidRDefault="00547221" w:rsidP="00547221">
      <w:pPr>
        <w:jc w:val="both"/>
        <w:rPr>
          <w:rFonts w:cs="Arial"/>
        </w:rPr>
      </w:pPr>
      <w:r>
        <w:rPr>
          <w:rFonts w:cs="Arial"/>
        </w:rPr>
        <w:t xml:space="preserve">The cost of furnishing and distributing door-hangers, furnishing, installing, maintaining, and removing “No Parking” signs and posts shall be borne by the Contractor at no cost to the Department. Door Hangers and No Parking Signs shall be produced in color and laminated prior to distribution. </w:t>
      </w:r>
    </w:p>
    <w:p w14:paraId="64CC39BE" w14:textId="77777777" w:rsidR="00547221" w:rsidRDefault="00547221" w:rsidP="00547221">
      <w:pPr>
        <w:jc w:val="both"/>
        <w:rPr>
          <w:rFonts w:cs="Arial"/>
        </w:rPr>
      </w:pPr>
    </w:p>
    <w:p w14:paraId="09D012BB" w14:textId="77777777" w:rsidR="00547221" w:rsidRDefault="00547221" w:rsidP="00547221">
      <w:pPr>
        <w:jc w:val="both"/>
        <w:rPr>
          <w:rFonts w:cs="Arial"/>
        </w:rPr>
      </w:pPr>
      <w:r>
        <w:rPr>
          <w:rFonts w:cs="Arial"/>
        </w:rPr>
        <w:t>Template examples can be found on the following three (3) pages.</w:t>
      </w:r>
    </w:p>
    <w:p w14:paraId="0E6B4835" w14:textId="77777777" w:rsidR="00547221" w:rsidRDefault="00547221" w:rsidP="00547221">
      <w:pPr>
        <w:jc w:val="both"/>
        <w:rPr>
          <w:rFonts w:cs="Arial"/>
        </w:rPr>
      </w:pPr>
    </w:p>
    <w:p w14:paraId="44BDDC8A" w14:textId="77777777" w:rsidR="00547221" w:rsidRDefault="00547221" w:rsidP="00547221">
      <w:r>
        <w:rPr>
          <w:rFonts w:cs="Arial"/>
        </w:rPr>
        <w:t xml:space="preserve">To obtain “color” template copies for production visit the following link: </w:t>
      </w:r>
      <w:hyperlink r:id="rId12" w:history="1">
        <w:r>
          <w:rPr>
            <w:rStyle w:val="Hyperlink"/>
          </w:rPr>
          <w:t>http://www.virginiadot.org/business/resources/const/PublicNotificationOfSurfaceTreatmentTemplate.pdf</w:t>
        </w:r>
      </w:hyperlink>
    </w:p>
    <w:p w14:paraId="42C27851" w14:textId="77777777" w:rsidR="00547221" w:rsidRDefault="00547221" w:rsidP="00547221">
      <w:pPr>
        <w:jc w:val="both"/>
        <w:rPr>
          <w:rFonts w:cs="Arial"/>
        </w:rPr>
      </w:pPr>
    </w:p>
    <w:p w14:paraId="398EA1A1" w14:textId="77777777" w:rsidR="00547221" w:rsidRDefault="00547221" w:rsidP="00547221">
      <w:pPr>
        <w:jc w:val="both"/>
        <w:rPr>
          <w:rFonts w:cs="Arial"/>
        </w:rPr>
      </w:pPr>
      <w:r>
        <w:rPr>
          <w:rFonts w:cs="Arial"/>
        </w:rPr>
        <w:br w:type="page"/>
      </w:r>
    </w:p>
    <w:p w14:paraId="2FDB6E0A" w14:textId="77777777" w:rsidR="00547221" w:rsidRDefault="00547221" w:rsidP="00547221">
      <w:pPr>
        <w:rPr>
          <w:rFonts w:cs="Arial"/>
        </w:rPr>
      </w:pPr>
    </w:p>
    <w:p w14:paraId="1019333A" w14:textId="77777777" w:rsidR="00547221" w:rsidRDefault="00547221" w:rsidP="00547221">
      <w:pPr>
        <w:tabs>
          <w:tab w:val="left" w:pos="2070"/>
        </w:tabs>
        <w:ind w:left="2070" w:right="2070"/>
        <w:rPr>
          <w:rFonts w:ascii="Frutiger" w:hAnsi="Frutiger"/>
        </w:rPr>
      </w:pPr>
      <w:r>
        <w:rPr>
          <w:noProof/>
        </w:rPr>
        <w:drawing>
          <wp:inline distT="0" distB="0" distL="0" distR="0" wp14:anchorId="447D0A97" wp14:editId="0C0C2397">
            <wp:extent cx="3356610" cy="6679565"/>
            <wp:effectExtent l="0" t="0" r="0"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6610" cy="6679565"/>
                    </a:xfrm>
                    <a:prstGeom prst="rect">
                      <a:avLst/>
                    </a:prstGeom>
                    <a:noFill/>
                    <a:ln>
                      <a:noFill/>
                    </a:ln>
                  </pic:spPr>
                </pic:pic>
              </a:graphicData>
            </a:graphic>
          </wp:inline>
        </w:drawing>
      </w:r>
      <w:r>
        <w:rPr>
          <w:rFonts w:ascii="Frutiger" w:hAnsi="Frutiger"/>
        </w:rPr>
        <w:tab/>
      </w:r>
    </w:p>
    <w:p w14:paraId="31CEF763" w14:textId="77777777" w:rsidR="00547221" w:rsidRDefault="00547221" w:rsidP="00547221">
      <w:pPr>
        <w:tabs>
          <w:tab w:val="left" w:pos="2070"/>
        </w:tabs>
        <w:ind w:left="2070" w:right="2070"/>
        <w:jc w:val="center"/>
        <w:rPr>
          <w:rFonts w:ascii="Frutiger" w:hAnsi="Frutiger"/>
        </w:rPr>
      </w:pPr>
    </w:p>
    <w:p w14:paraId="6BF55718" w14:textId="77777777" w:rsidR="00547221" w:rsidRDefault="00547221" w:rsidP="00547221">
      <w:pPr>
        <w:tabs>
          <w:tab w:val="left" w:pos="2070"/>
        </w:tabs>
        <w:ind w:left="2070" w:right="2070"/>
        <w:jc w:val="center"/>
        <w:rPr>
          <w:rFonts w:ascii="Frutiger" w:hAnsi="Frutiger"/>
        </w:rPr>
      </w:pPr>
      <w:r>
        <w:rPr>
          <w:rFonts w:ascii="Frutiger" w:hAnsi="Frutiger"/>
        </w:rPr>
        <w:t>Door Hanger (Front)</w:t>
      </w:r>
    </w:p>
    <w:p w14:paraId="3E1B3485" w14:textId="77777777" w:rsidR="00547221" w:rsidRDefault="00547221" w:rsidP="00547221">
      <w:pPr>
        <w:tabs>
          <w:tab w:val="left" w:pos="2070"/>
        </w:tabs>
        <w:ind w:left="2070" w:right="2070"/>
        <w:rPr>
          <w:rFonts w:ascii="Frutiger" w:hAnsi="Frutiger"/>
        </w:rPr>
      </w:pPr>
    </w:p>
    <w:p w14:paraId="34BAB573" w14:textId="77777777" w:rsidR="00547221" w:rsidRDefault="00547221" w:rsidP="00547221">
      <w:pPr>
        <w:tabs>
          <w:tab w:val="left" w:pos="2070"/>
        </w:tabs>
        <w:ind w:left="2070" w:right="2070"/>
        <w:rPr>
          <w:rFonts w:ascii="Frutiger" w:hAnsi="Frutiger"/>
        </w:rPr>
      </w:pPr>
    </w:p>
    <w:p w14:paraId="79CFBC2A" w14:textId="77777777" w:rsidR="00547221" w:rsidRDefault="00547221" w:rsidP="00547221">
      <w:pPr>
        <w:spacing w:after="200" w:line="276" w:lineRule="auto"/>
        <w:rPr>
          <w:rFonts w:ascii="Frutiger" w:hAnsi="Frutiger"/>
        </w:rPr>
      </w:pPr>
      <w:r>
        <w:rPr>
          <w:rFonts w:ascii="Frutiger" w:hAnsi="Frutiger"/>
        </w:rPr>
        <w:br w:type="page"/>
      </w:r>
    </w:p>
    <w:p w14:paraId="31728AB9" w14:textId="77777777" w:rsidR="00547221" w:rsidRDefault="00547221" w:rsidP="00547221">
      <w:pPr>
        <w:tabs>
          <w:tab w:val="left" w:pos="1980"/>
        </w:tabs>
        <w:ind w:left="2070" w:right="2070"/>
        <w:rPr>
          <w:rFonts w:ascii="Frutiger" w:hAnsi="Frutiger" w:cs="Arial"/>
          <w:color w:val="365F91"/>
        </w:rPr>
      </w:pPr>
    </w:p>
    <w:p w14:paraId="1240B19A" w14:textId="77777777" w:rsidR="00547221" w:rsidRDefault="00547221" w:rsidP="00547221">
      <w:pPr>
        <w:tabs>
          <w:tab w:val="left" w:pos="2070"/>
        </w:tabs>
        <w:ind w:left="2070" w:right="2070"/>
        <w:rPr>
          <w:rFonts w:ascii="Frutiger" w:hAnsi="Frutiger" w:cs="Arial"/>
          <w:color w:val="365F91"/>
        </w:rPr>
      </w:pPr>
      <w:r>
        <w:rPr>
          <w:rFonts w:ascii="Frutiger" w:hAnsi="Frutiger" w:cs="Arial"/>
          <w:noProof/>
          <w:color w:val="365F91"/>
        </w:rPr>
        <w:drawing>
          <wp:inline distT="0" distB="0" distL="0" distR="0" wp14:anchorId="48BE1E70" wp14:editId="40A28C93">
            <wp:extent cx="3423285" cy="40132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3285" cy="401320"/>
                    </a:xfrm>
                    <a:prstGeom prst="rect">
                      <a:avLst/>
                    </a:prstGeom>
                    <a:noFill/>
                    <a:ln>
                      <a:noFill/>
                    </a:ln>
                  </pic:spPr>
                </pic:pic>
              </a:graphicData>
            </a:graphic>
          </wp:inline>
        </w:drawing>
      </w:r>
    </w:p>
    <w:p w14:paraId="56EA24FB" w14:textId="77777777" w:rsidR="00547221" w:rsidRDefault="00547221" w:rsidP="00547221">
      <w:pPr>
        <w:tabs>
          <w:tab w:val="left" w:pos="2070"/>
        </w:tabs>
        <w:ind w:left="2160" w:right="2070"/>
        <w:jc w:val="both"/>
        <w:rPr>
          <w:rFonts w:ascii="Frutiger" w:hAnsi="Frutiger" w:cs="Arial"/>
          <w:color w:val="365F91"/>
        </w:rPr>
      </w:pPr>
    </w:p>
    <w:p w14:paraId="6F998853" w14:textId="77777777" w:rsidR="00547221" w:rsidRDefault="00547221" w:rsidP="00547221">
      <w:pPr>
        <w:tabs>
          <w:tab w:val="left" w:pos="2070"/>
        </w:tabs>
        <w:ind w:left="2160" w:right="2070"/>
        <w:jc w:val="both"/>
        <w:rPr>
          <w:rFonts w:ascii="Frutiger" w:hAnsi="Frutiger"/>
        </w:rPr>
      </w:pPr>
      <w:r>
        <w:rPr>
          <w:rFonts w:ascii="Frutiger" w:hAnsi="Frutiger" w:cs="Arial"/>
          <w:color w:val="365F91"/>
        </w:rPr>
        <w:t xml:space="preserve">Within the next 30 days, you will see construction crews and equipment preparing to treat and improve the roads in your neighborhood. This work is </w:t>
      </w:r>
      <w:r>
        <w:rPr>
          <w:rFonts w:ascii="Frutiger" w:hAnsi="Frutiger" w:cs="Arial"/>
          <w:color w:val="FF0000"/>
        </w:rPr>
        <w:t>dependent on weather</w:t>
      </w:r>
      <w:r>
        <w:rPr>
          <w:rFonts w:ascii="Frutiger" w:hAnsi="Frutiger" w:cs="Arial"/>
          <w:color w:val="365F91"/>
        </w:rPr>
        <w:t xml:space="preserve"> and may occur later than this timeframe due to contractor schedules.</w:t>
      </w:r>
    </w:p>
    <w:p w14:paraId="700FBB81" w14:textId="77777777" w:rsidR="00547221" w:rsidRDefault="00547221" w:rsidP="00547221">
      <w:pPr>
        <w:tabs>
          <w:tab w:val="left" w:pos="2070"/>
        </w:tabs>
        <w:ind w:left="2160" w:right="2070"/>
        <w:jc w:val="both"/>
        <w:rPr>
          <w:rFonts w:ascii="Frutiger" w:hAnsi="Frutiger" w:cs="Arial"/>
          <w:b/>
          <w:color w:val="E36C0A"/>
        </w:rPr>
      </w:pPr>
    </w:p>
    <w:p w14:paraId="26993E86" w14:textId="77777777" w:rsidR="00547221" w:rsidRDefault="00547221" w:rsidP="00547221">
      <w:pPr>
        <w:tabs>
          <w:tab w:val="left" w:pos="2070"/>
        </w:tabs>
        <w:ind w:left="2160" w:right="2070"/>
        <w:jc w:val="both"/>
        <w:rPr>
          <w:rFonts w:ascii="Frutiger" w:hAnsi="Frutiger" w:cs="Arial"/>
          <w:b/>
          <w:color w:val="E36C0A"/>
        </w:rPr>
      </w:pPr>
      <w:r>
        <w:rPr>
          <w:rFonts w:ascii="Frutiger" w:hAnsi="Frutiger" w:cs="Arial"/>
          <w:b/>
          <w:color w:val="E36C0A"/>
        </w:rPr>
        <w:t>WHAT YOU NEED TO KNOW</w:t>
      </w:r>
    </w:p>
    <w:p w14:paraId="60005B7E" w14:textId="77777777" w:rsidR="00547221" w:rsidRDefault="00547221" w:rsidP="00547221">
      <w:pPr>
        <w:tabs>
          <w:tab w:val="left" w:pos="2070"/>
        </w:tabs>
        <w:ind w:left="2160" w:right="2070"/>
        <w:jc w:val="both"/>
        <w:rPr>
          <w:rFonts w:ascii="Frutiger" w:hAnsi="Frutiger" w:cs="Arial"/>
        </w:rPr>
      </w:pPr>
      <w:r>
        <w:rPr>
          <w:rFonts w:ascii="Frutiger" w:hAnsi="Frutiger" w:cs="Arial"/>
          <w:color w:val="365F91"/>
        </w:rPr>
        <w:t>Crews will be applying surface treatment. Asphalt will be sprayed directly onto the road, immediately followed by an application of small stones which are rolled and compressed into the road so they are 50-70 percent embedded in the pavement. This application is designed to extend the life of your pavement.</w:t>
      </w:r>
    </w:p>
    <w:p w14:paraId="08C2CF30" w14:textId="77777777" w:rsidR="00547221" w:rsidRDefault="00547221" w:rsidP="00547221">
      <w:pPr>
        <w:tabs>
          <w:tab w:val="left" w:pos="2070"/>
        </w:tabs>
        <w:ind w:left="2160" w:right="2070"/>
        <w:jc w:val="both"/>
        <w:rPr>
          <w:rFonts w:ascii="Frutiger" w:hAnsi="Frutiger" w:cs="Arial"/>
          <w:b/>
          <w:color w:val="E36C0A"/>
        </w:rPr>
      </w:pPr>
    </w:p>
    <w:p w14:paraId="349312D2" w14:textId="77777777" w:rsidR="00547221" w:rsidRDefault="00547221" w:rsidP="00547221">
      <w:pPr>
        <w:tabs>
          <w:tab w:val="left" w:pos="2070"/>
        </w:tabs>
        <w:ind w:left="2160" w:right="2070"/>
        <w:jc w:val="both"/>
        <w:rPr>
          <w:rFonts w:ascii="Frutiger" w:hAnsi="Frutiger" w:cs="Arial"/>
          <w:b/>
          <w:color w:val="E36C0A"/>
        </w:rPr>
      </w:pPr>
      <w:r>
        <w:rPr>
          <w:rFonts w:ascii="Frutiger" w:hAnsi="Frutiger" w:cs="Arial"/>
          <w:b/>
          <w:color w:val="E36C0A"/>
        </w:rPr>
        <w:t>WHAT TO EXPECT</w:t>
      </w:r>
    </w:p>
    <w:p w14:paraId="0945C67A" w14:textId="77777777" w:rsidR="00547221" w:rsidRDefault="00547221" w:rsidP="00547221">
      <w:pPr>
        <w:tabs>
          <w:tab w:val="left" w:pos="2070"/>
        </w:tabs>
        <w:ind w:left="2160" w:right="2070"/>
        <w:jc w:val="both"/>
        <w:rPr>
          <w:rFonts w:ascii="Frutiger" w:hAnsi="Frutiger" w:cs="Arial"/>
          <w:color w:val="365F91"/>
        </w:rPr>
      </w:pPr>
      <w:r>
        <w:rPr>
          <w:rFonts w:ascii="Frutiger" w:hAnsi="Frutiger" w:cs="Arial"/>
          <w:color w:val="365F91"/>
        </w:rPr>
        <w:t>One of the final steps of the surface treatment process is a “blot” coat. During this step, sand is applied to prevent any liquid asphalt from being picked up by vehicle tires, which could spray the asphalt onto a vehicle’s body. This sand blot coat typically stays in place for 1-3 weeks. This allows the resurfacing materials to fully cure.</w:t>
      </w:r>
    </w:p>
    <w:p w14:paraId="54DBF509" w14:textId="77777777" w:rsidR="00547221" w:rsidRDefault="00547221" w:rsidP="00547221">
      <w:pPr>
        <w:tabs>
          <w:tab w:val="left" w:pos="2070"/>
        </w:tabs>
        <w:ind w:left="2160" w:right="2070"/>
        <w:jc w:val="both"/>
        <w:rPr>
          <w:rFonts w:ascii="Frutiger" w:hAnsi="Frutiger" w:cs="Arial"/>
          <w:color w:val="365F91"/>
        </w:rPr>
      </w:pPr>
    </w:p>
    <w:p w14:paraId="15543563" w14:textId="77777777" w:rsidR="00547221" w:rsidRDefault="00547221" w:rsidP="00547221">
      <w:pPr>
        <w:tabs>
          <w:tab w:val="left" w:pos="2070"/>
        </w:tabs>
        <w:ind w:left="2160" w:right="2070"/>
        <w:jc w:val="both"/>
        <w:rPr>
          <w:rFonts w:ascii="Frutiger" w:hAnsi="Frutiger" w:cs="Arial"/>
          <w:color w:val="365F91"/>
        </w:rPr>
      </w:pPr>
      <w:r>
        <w:rPr>
          <w:rFonts w:ascii="Frutiger" w:hAnsi="Frutiger" w:cs="Arial"/>
          <w:color w:val="365F91"/>
        </w:rPr>
        <w:t xml:space="preserve">In some cases, when traffic and rain does not displace the residual sand during the curing time period, VDOT will schedule additional roadway sweeping. </w:t>
      </w:r>
    </w:p>
    <w:p w14:paraId="5A90C5A5" w14:textId="77777777" w:rsidR="00547221" w:rsidRDefault="00547221" w:rsidP="00547221">
      <w:pPr>
        <w:tabs>
          <w:tab w:val="left" w:pos="2070"/>
        </w:tabs>
        <w:ind w:left="2160" w:right="2070"/>
        <w:jc w:val="both"/>
        <w:rPr>
          <w:rFonts w:ascii="Frutiger" w:hAnsi="Frutiger" w:cs="Arial"/>
          <w:b/>
          <w:color w:val="E36C0A"/>
        </w:rPr>
      </w:pPr>
    </w:p>
    <w:p w14:paraId="7EFB2AFF" w14:textId="77777777" w:rsidR="00547221" w:rsidRDefault="00547221" w:rsidP="00547221">
      <w:pPr>
        <w:tabs>
          <w:tab w:val="left" w:pos="2070"/>
        </w:tabs>
        <w:ind w:left="2160" w:right="2070"/>
        <w:jc w:val="both"/>
        <w:rPr>
          <w:rFonts w:ascii="Frutiger" w:hAnsi="Frutiger" w:cs="Arial"/>
          <w:b/>
          <w:color w:val="E36C0A"/>
        </w:rPr>
      </w:pPr>
      <w:r>
        <w:rPr>
          <w:rFonts w:ascii="Frutiger" w:hAnsi="Frutiger" w:cs="Arial"/>
          <w:b/>
          <w:color w:val="E36C0A"/>
        </w:rPr>
        <w:t>HOW TO PREPARE</w:t>
      </w:r>
    </w:p>
    <w:p w14:paraId="04AD7399" w14:textId="77777777" w:rsidR="00547221" w:rsidRDefault="00547221" w:rsidP="00547221">
      <w:pPr>
        <w:tabs>
          <w:tab w:val="left" w:pos="2070"/>
        </w:tabs>
        <w:ind w:left="2160" w:right="2070"/>
        <w:jc w:val="both"/>
        <w:rPr>
          <w:rFonts w:ascii="Frutiger" w:hAnsi="Frutiger" w:cs="Arial"/>
          <w:color w:val="365F91"/>
        </w:rPr>
      </w:pPr>
      <w:r>
        <w:rPr>
          <w:rFonts w:ascii="Frutiger" w:hAnsi="Frutiger" w:cs="Arial"/>
          <w:color w:val="365F91"/>
        </w:rPr>
        <w:t>When work begins, please avoid parking your vehicles on the street. Construction crews will place “No Parking” signs on the affected streets a minimum of 3 business days before work begins, notifying residents of the specific days parking will be prohibited. Please remove other obstructions from the road, such as basketball hoops or garbage cans.</w:t>
      </w:r>
    </w:p>
    <w:p w14:paraId="0D386AE9" w14:textId="77777777" w:rsidR="00547221" w:rsidRDefault="00547221" w:rsidP="00547221">
      <w:pPr>
        <w:tabs>
          <w:tab w:val="left" w:pos="2070"/>
        </w:tabs>
        <w:ind w:left="2160" w:right="2070"/>
        <w:jc w:val="both"/>
        <w:rPr>
          <w:rFonts w:ascii="Frutiger" w:hAnsi="Frutiger" w:cs="Arial"/>
          <w:b/>
          <w:color w:val="E36C0A"/>
        </w:rPr>
      </w:pPr>
    </w:p>
    <w:p w14:paraId="486A1435" w14:textId="77777777" w:rsidR="00547221" w:rsidRDefault="00547221" w:rsidP="00547221">
      <w:pPr>
        <w:tabs>
          <w:tab w:val="left" w:pos="2070"/>
        </w:tabs>
        <w:ind w:left="2160" w:right="2070"/>
        <w:jc w:val="both"/>
        <w:rPr>
          <w:rFonts w:ascii="Frutiger" w:hAnsi="Frutiger" w:cs="Arial"/>
          <w:b/>
          <w:color w:val="E36C0A"/>
        </w:rPr>
      </w:pPr>
      <w:r>
        <w:rPr>
          <w:rFonts w:ascii="Frutiger" w:hAnsi="Frutiger" w:cs="Arial"/>
          <w:b/>
          <w:color w:val="E36C0A"/>
        </w:rPr>
        <w:t>RESOURCES</w:t>
      </w:r>
    </w:p>
    <w:p w14:paraId="28960B80" w14:textId="77777777" w:rsidR="00547221" w:rsidRDefault="00547221" w:rsidP="00547221">
      <w:pPr>
        <w:tabs>
          <w:tab w:val="left" w:pos="2070"/>
        </w:tabs>
        <w:ind w:left="2160" w:right="2070"/>
        <w:jc w:val="both"/>
        <w:rPr>
          <w:rFonts w:ascii="Frutiger" w:hAnsi="Frutiger" w:cs="Arial"/>
          <w:color w:val="365F91"/>
        </w:rPr>
      </w:pPr>
      <w:r>
        <w:rPr>
          <w:rFonts w:ascii="Frutiger" w:hAnsi="Frutiger" w:cs="Arial"/>
          <w:color w:val="365F91"/>
        </w:rPr>
        <w:t xml:space="preserve">For more information about this process, please visit </w:t>
      </w:r>
      <w:hyperlink r:id="rId15" w:history="1">
        <w:r>
          <w:rPr>
            <w:rStyle w:val="Hyperlink"/>
            <w:rFonts w:ascii="Frutiger" w:hAnsi="Frutiger" w:cs="Arial"/>
            <w:b/>
          </w:rPr>
          <w:t>www.virginiadot.org/surfacetreatment</w:t>
        </w:r>
      </w:hyperlink>
      <w:r>
        <w:rPr>
          <w:rFonts w:ascii="Frutiger" w:hAnsi="Frutiger" w:cs="Arial"/>
          <w:color w:val="365F91"/>
        </w:rPr>
        <w:t>.</w:t>
      </w:r>
    </w:p>
    <w:p w14:paraId="1F43E39A" w14:textId="77777777" w:rsidR="00547221" w:rsidRDefault="00547221" w:rsidP="00547221">
      <w:pPr>
        <w:tabs>
          <w:tab w:val="left" w:pos="2070"/>
        </w:tabs>
        <w:ind w:left="2160" w:right="2070"/>
        <w:jc w:val="both"/>
        <w:rPr>
          <w:rFonts w:ascii="Frutiger" w:hAnsi="Frutiger" w:cs="Arial"/>
          <w:color w:val="365F91"/>
        </w:rPr>
      </w:pPr>
    </w:p>
    <w:p w14:paraId="0A7F43F8" w14:textId="77777777" w:rsidR="00547221" w:rsidRDefault="00547221" w:rsidP="00547221">
      <w:pPr>
        <w:tabs>
          <w:tab w:val="left" w:pos="2070"/>
        </w:tabs>
        <w:ind w:left="2160" w:right="2070"/>
        <w:rPr>
          <w:rFonts w:ascii="Frutiger" w:hAnsi="Frutiger" w:cs="Arial"/>
          <w:color w:val="365F91"/>
        </w:rPr>
      </w:pPr>
      <w:r>
        <w:rPr>
          <w:rFonts w:ascii="Frutiger" w:hAnsi="Frutiger" w:cs="Arial"/>
          <w:color w:val="365F91"/>
        </w:rPr>
        <w:t xml:space="preserve">To contact us, call VDOT’s Customer Service Center at 1-800-FOR-ROAD (800-367-7623) or email </w:t>
      </w:r>
      <w:hyperlink r:id="rId16" w:history="1">
        <w:r>
          <w:rPr>
            <w:rStyle w:val="Hyperlink"/>
            <w:rFonts w:ascii="Frutiger" w:hAnsi="Frutiger" w:cs="Arial"/>
            <w:b/>
          </w:rPr>
          <w:t>customerservice@VDOT.Virginia.Gov</w:t>
        </w:r>
      </w:hyperlink>
      <w:r>
        <w:rPr>
          <w:rFonts w:ascii="Frutiger" w:hAnsi="Frutiger" w:cs="Arial"/>
          <w:color w:val="365F91"/>
        </w:rPr>
        <w:t>.</w:t>
      </w:r>
    </w:p>
    <w:p w14:paraId="4F5F3D56" w14:textId="77777777" w:rsidR="00547221" w:rsidRDefault="00547221" w:rsidP="00547221">
      <w:pPr>
        <w:tabs>
          <w:tab w:val="left" w:pos="2070"/>
        </w:tabs>
        <w:ind w:left="2160" w:right="2070"/>
        <w:rPr>
          <w:rFonts w:ascii="Frutiger" w:hAnsi="Frutiger" w:cs="Arial"/>
          <w:color w:val="365F91"/>
        </w:rPr>
      </w:pPr>
    </w:p>
    <w:p w14:paraId="13C0E795" w14:textId="77777777" w:rsidR="00547221" w:rsidRDefault="00547221" w:rsidP="00547221">
      <w:pPr>
        <w:tabs>
          <w:tab w:val="left" w:pos="2070"/>
        </w:tabs>
        <w:ind w:left="2160" w:right="2070"/>
        <w:rPr>
          <w:rFonts w:ascii="Frutiger" w:hAnsi="Frutiger" w:cs="Arial"/>
          <w:color w:val="365F91"/>
        </w:rPr>
      </w:pPr>
      <w:r>
        <w:rPr>
          <w:rFonts w:ascii="Frutiger" w:hAnsi="Frutiger" w:cs="Arial"/>
          <w:noProof/>
          <w:color w:val="365F91"/>
        </w:rPr>
        <w:drawing>
          <wp:inline distT="0" distB="0" distL="0" distR="0" wp14:anchorId="36F7ADBB" wp14:editId="56D0BFF7">
            <wp:extent cx="2508885" cy="69151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8885" cy="691515"/>
                    </a:xfrm>
                    <a:prstGeom prst="rect">
                      <a:avLst/>
                    </a:prstGeom>
                    <a:noFill/>
                    <a:ln>
                      <a:noFill/>
                    </a:ln>
                  </pic:spPr>
                </pic:pic>
              </a:graphicData>
            </a:graphic>
          </wp:inline>
        </w:drawing>
      </w:r>
      <w:r>
        <w:rPr>
          <w:rFonts w:ascii="Frutiger" w:hAnsi="Frutiger" w:cs="Arial"/>
          <w:noProof/>
          <w:color w:val="365F91"/>
        </w:rPr>
        <w:drawing>
          <wp:inline distT="0" distB="0" distL="0" distR="0" wp14:anchorId="21614930" wp14:editId="2C4183D7">
            <wp:extent cx="713740" cy="7137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3740" cy="713740"/>
                    </a:xfrm>
                    <a:prstGeom prst="rect">
                      <a:avLst/>
                    </a:prstGeom>
                    <a:noFill/>
                    <a:ln>
                      <a:noFill/>
                    </a:ln>
                  </pic:spPr>
                </pic:pic>
              </a:graphicData>
            </a:graphic>
          </wp:inline>
        </w:drawing>
      </w:r>
    </w:p>
    <w:p w14:paraId="6A8102B6" w14:textId="77777777" w:rsidR="00547221" w:rsidRDefault="00547221" w:rsidP="00547221">
      <w:pPr>
        <w:tabs>
          <w:tab w:val="left" w:pos="2070"/>
        </w:tabs>
        <w:ind w:left="2160" w:right="2070"/>
        <w:rPr>
          <w:rFonts w:ascii="Frutiger" w:hAnsi="Frutiger" w:cs="Arial"/>
          <w:color w:val="365F91"/>
        </w:rPr>
      </w:pPr>
    </w:p>
    <w:p w14:paraId="7251FA2C" w14:textId="77777777" w:rsidR="00547221" w:rsidRDefault="00547221" w:rsidP="00547221">
      <w:pPr>
        <w:tabs>
          <w:tab w:val="left" w:pos="2070"/>
        </w:tabs>
        <w:ind w:left="2160" w:right="2070"/>
        <w:jc w:val="center"/>
        <w:rPr>
          <w:rFonts w:ascii="Frutiger" w:hAnsi="Frutiger" w:cs="Arial"/>
        </w:rPr>
      </w:pPr>
    </w:p>
    <w:p w14:paraId="4DF76611" w14:textId="77777777" w:rsidR="00547221" w:rsidRDefault="00547221" w:rsidP="00547221">
      <w:pPr>
        <w:tabs>
          <w:tab w:val="left" w:pos="2070"/>
        </w:tabs>
        <w:ind w:left="2160" w:right="2070"/>
        <w:jc w:val="center"/>
        <w:rPr>
          <w:rFonts w:ascii="Frutiger" w:hAnsi="Frutiger" w:cs="Arial"/>
        </w:rPr>
      </w:pPr>
      <w:r>
        <w:rPr>
          <w:rFonts w:ascii="Frutiger" w:hAnsi="Frutiger" w:cs="Arial"/>
        </w:rPr>
        <w:t>Door Hanger (Back)</w:t>
      </w:r>
    </w:p>
    <w:p w14:paraId="27136C39" w14:textId="77777777" w:rsidR="00547221" w:rsidRDefault="00547221" w:rsidP="00547221">
      <w:pPr>
        <w:tabs>
          <w:tab w:val="left" w:pos="2070"/>
        </w:tabs>
        <w:ind w:left="2070" w:right="2070"/>
        <w:jc w:val="both"/>
        <w:rPr>
          <w:rFonts w:ascii="Frutiger" w:hAnsi="Frutiger" w:cs="Arial"/>
          <w:color w:val="365F91"/>
        </w:rPr>
      </w:pPr>
    </w:p>
    <w:p w14:paraId="2F2B9C94" w14:textId="77777777" w:rsidR="00547221" w:rsidRDefault="00547221" w:rsidP="00547221">
      <w:pPr>
        <w:tabs>
          <w:tab w:val="left" w:pos="2070"/>
        </w:tabs>
        <w:ind w:left="2070" w:right="2070"/>
        <w:jc w:val="both"/>
        <w:rPr>
          <w:rFonts w:ascii="Frutiger" w:hAnsi="Frutiger" w:cs="Arial"/>
          <w:color w:val="365F91"/>
        </w:rPr>
      </w:pPr>
    </w:p>
    <w:p w14:paraId="37229363" w14:textId="77777777" w:rsidR="00547221" w:rsidRDefault="00547221" w:rsidP="00547221">
      <w:pPr>
        <w:jc w:val="center"/>
      </w:pPr>
      <w:r>
        <w:rPr>
          <w:b/>
          <w:noProof/>
          <w:spacing w:val="-3"/>
        </w:rPr>
        <w:lastRenderedPageBreak/>
        <w:drawing>
          <wp:inline distT="0" distB="0" distL="0" distR="0" wp14:anchorId="686B9AEE" wp14:editId="032395C6">
            <wp:extent cx="5720715" cy="7939405"/>
            <wp:effectExtent l="0" t="0" r="0" b="444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0715" cy="7939405"/>
                    </a:xfrm>
                    <a:prstGeom prst="rect">
                      <a:avLst/>
                    </a:prstGeom>
                    <a:noFill/>
                    <a:ln>
                      <a:noFill/>
                    </a:ln>
                  </pic:spPr>
                </pic:pic>
              </a:graphicData>
            </a:graphic>
          </wp:inline>
        </w:drawing>
      </w:r>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735C1" w14:textId="77777777" w:rsidR="00F84CC8" w:rsidRDefault="00F84CC8">
      <w:r>
        <w:separator/>
      </w:r>
    </w:p>
  </w:endnote>
  <w:endnote w:type="continuationSeparator" w:id="0">
    <w:p w14:paraId="20B1B189" w14:textId="77777777" w:rsidR="00F84CC8" w:rsidRDefault="00F8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Frutiger">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9E542" w14:textId="77777777" w:rsidR="00F84CC8" w:rsidRDefault="00F84CC8">
      <w:r>
        <w:separator/>
      </w:r>
    </w:p>
  </w:footnote>
  <w:footnote w:type="continuationSeparator" w:id="0">
    <w:p w14:paraId="10EF68DC" w14:textId="77777777" w:rsidR="00F84CC8" w:rsidRDefault="00F84C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9656E"/>
    <w:rsid w:val="000A67BF"/>
    <w:rsid w:val="000B7557"/>
    <w:rsid w:val="000C412B"/>
    <w:rsid w:val="000F194F"/>
    <w:rsid w:val="00107AEC"/>
    <w:rsid w:val="00117EF8"/>
    <w:rsid w:val="00130682"/>
    <w:rsid w:val="0013374A"/>
    <w:rsid w:val="00135794"/>
    <w:rsid w:val="00165448"/>
    <w:rsid w:val="00173959"/>
    <w:rsid w:val="00175B54"/>
    <w:rsid w:val="001815A8"/>
    <w:rsid w:val="00195503"/>
    <w:rsid w:val="001959D8"/>
    <w:rsid w:val="001A09AC"/>
    <w:rsid w:val="001A305C"/>
    <w:rsid w:val="001B03DE"/>
    <w:rsid w:val="001B4C3A"/>
    <w:rsid w:val="001C4040"/>
    <w:rsid w:val="00200A57"/>
    <w:rsid w:val="002147D7"/>
    <w:rsid w:val="002149BE"/>
    <w:rsid w:val="00233AEB"/>
    <w:rsid w:val="0025109E"/>
    <w:rsid w:val="00275BBF"/>
    <w:rsid w:val="00293D6E"/>
    <w:rsid w:val="002A40C6"/>
    <w:rsid w:val="002C18D4"/>
    <w:rsid w:val="002D6861"/>
    <w:rsid w:val="002D7FF5"/>
    <w:rsid w:val="00303575"/>
    <w:rsid w:val="00304D52"/>
    <w:rsid w:val="00330195"/>
    <w:rsid w:val="00331352"/>
    <w:rsid w:val="003D0DE2"/>
    <w:rsid w:val="00407155"/>
    <w:rsid w:val="00413782"/>
    <w:rsid w:val="00432F61"/>
    <w:rsid w:val="004425F3"/>
    <w:rsid w:val="00450017"/>
    <w:rsid w:val="00460585"/>
    <w:rsid w:val="00461FF3"/>
    <w:rsid w:val="00472E9D"/>
    <w:rsid w:val="00477527"/>
    <w:rsid w:val="0048491E"/>
    <w:rsid w:val="004B4B71"/>
    <w:rsid w:val="004B7FD4"/>
    <w:rsid w:val="004C068D"/>
    <w:rsid w:val="004C14A1"/>
    <w:rsid w:val="004F6C7B"/>
    <w:rsid w:val="004F6CBC"/>
    <w:rsid w:val="0050567A"/>
    <w:rsid w:val="00510D35"/>
    <w:rsid w:val="00516FCB"/>
    <w:rsid w:val="00540123"/>
    <w:rsid w:val="00545D28"/>
    <w:rsid w:val="00546DC5"/>
    <w:rsid w:val="00547221"/>
    <w:rsid w:val="005619FB"/>
    <w:rsid w:val="00570201"/>
    <w:rsid w:val="00574B46"/>
    <w:rsid w:val="00576FD7"/>
    <w:rsid w:val="00583A3E"/>
    <w:rsid w:val="00586DC9"/>
    <w:rsid w:val="005A5B11"/>
    <w:rsid w:val="005B2DE5"/>
    <w:rsid w:val="005C180C"/>
    <w:rsid w:val="005D0859"/>
    <w:rsid w:val="005D4900"/>
    <w:rsid w:val="005F0785"/>
    <w:rsid w:val="005F404D"/>
    <w:rsid w:val="00627601"/>
    <w:rsid w:val="00632893"/>
    <w:rsid w:val="00652713"/>
    <w:rsid w:val="00661E2E"/>
    <w:rsid w:val="00676336"/>
    <w:rsid w:val="006825BF"/>
    <w:rsid w:val="006A07F3"/>
    <w:rsid w:val="006A2261"/>
    <w:rsid w:val="006A2AFF"/>
    <w:rsid w:val="006A3977"/>
    <w:rsid w:val="006B1BA8"/>
    <w:rsid w:val="006B3094"/>
    <w:rsid w:val="006C3E33"/>
    <w:rsid w:val="006F10DF"/>
    <w:rsid w:val="006F17B7"/>
    <w:rsid w:val="0071701C"/>
    <w:rsid w:val="0072326D"/>
    <w:rsid w:val="00725454"/>
    <w:rsid w:val="007360B4"/>
    <w:rsid w:val="0078729B"/>
    <w:rsid w:val="007A334E"/>
    <w:rsid w:val="007C3D79"/>
    <w:rsid w:val="007D47F1"/>
    <w:rsid w:val="007D4C15"/>
    <w:rsid w:val="00833443"/>
    <w:rsid w:val="00843863"/>
    <w:rsid w:val="00862AD9"/>
    <w:rsid w:val="00866C5C"/>
    <w:rsid w:val="00867F9E"/>
    <w:rsid w:val="00876163"/>
    <w:rsid w:val="00880B39"/>
    <w:rsid w:val="008A523E"/>
    <w:rsid w:val="009010A5"/>
    <w:rsid w:val="009203B2"/>
    <w:rsid w:val="00932718"/>
    <w:rsid w:val="00944D71"/>
    <w:rsid w:val="00944F39"/>
    <w:rsid w:val="00946F8E"/>
    <w:rsid w:val="009544D8"/>
    <w:rsid w:val="0096455F"/>
    <w:rsid w:val="00965CE6"/>
    <w:rsid w:val="009676B5"/>
    <w:rsid w:val="009779CA"/>
    <w:rsid w:val="009A5EE3"/>
    <w:rsid w:val="009C570D"/>
    <w:rsid w:val="009C7862"/>
    <w:rsid w:val="009D24D6"/>
    <w:rsid w:val="009F3964"/>
    <w:rsid w:val="009F3C2A"/>
    <w:rsid w:val="00A00FF3"/>
    <w:rsid w:val="00A0105E"/>
    <w:rsid w:val="00A02BF6"/>
    <w:rsid w:val="00A06350"/>
    <w:rsid w:val="00A1617D"/>
    <w:rsid w:val="00A17E67"/>
    <w:rsid w:val="00A21ABA"/>
    <w:rsid w:val="00A51519"/>
    <w:rsid w:val="00A65374"/>
    <w:rsid w:val="00A66530"/>
    <w:rsid w:val="00A71ABB"/>
    <w:rsid w:val="00A74C22"/>
    <w:rsid w:val="00AA49D0"/>
    <w:rsid w:val="00AA5C1E"/>
    <w:rsid w:val="00AB38F9"/>
    <w:rsid w:val="00AE3C3E"/>
    <w:rsid w:val="00AF3883"/>
    <w:rsid w:val="00B03E56"/>
    <w:rsid w:val="00B11F8B"/>
    <w:rsid w:val="00B26F38"/>
    <w:rsid w:val="00B27C1F"/>
    <w:rsid w:val="00B340DB"/>
    <w:rsid w:val="00BB2A76"/>
    <w:rsid w:val="00BB3332"/>
    <w:rsid w:val="00BB4600"/>
    <w:rsid w:val="00BC0A28"/>
    <w:rsid w:val="00BC7D8C"/>
    <w:rsid w:val="00BE3329"/>
    <w:rsid w:val="00C011C3"/>
    <w:rsid w:val="00C46D4D"/>
    <w:rsid w:val="00C56BE2"/>
    <w:rsid w:val="00C640E3"/>
    <w:rsid w:val="00C80840"/>
    <w:rsid w:val="00C84566"/>
    <w:rsid w:val="00C8467E"/>
    <w:rsid w:val="00C927B8"/>
    <w:rsid w:val="00CA5396"/>
    <w:rsid w:val="00CA7BCF"/>
    <w:rsid w:val="00CB5BBF"/>
    <w:rsid w:val="00CD1878"/>
    <w:rsid w:val="00CE28D8"/>
    <w:rsid w:val="00D07472"/>
    <w:rsid w:val="00D17E07"/>
    <w:rsid w:val="00D2102B"/>
    <w:rsid w:val="00D42BAC"/>
    <w:rsid w:val="00D43C57"/>
    <w:rsid w:val="00D7425B"/>
    <w:rsid w:val="00D74A4C"/>
    <w:rsid w:val="00D82EF0"/>
    <w:rsid w:val="00D86633"/>
    <w:rsid w:val="00DA60C9"/>
    <w:rsid w:val="00DD28D0"/>
    <w:rsid w:val="00DD55AF"/>
    <w:rsid w:val="00DE131C"/>
    <w:rsid w:val="00E049D1"/>
    <w:rsid w:val="00E1261C"/>
    <w:rsid w:val="00E34F5C"/>
    <w:rsid w:val="00E52DEB"/>
    <w:rsid w:val="00E5503F"/>
    <w:rsid w:val="00E67DFC"/>
    <w:rsid w:val="00E739CD"/>
    <w:rsid w:val="00E75AF1"/>
    <w:rsid w:val="00E91EB6"/>
    <w:rsid w:val="00E94596"/>
    <w:rsid w:val="00E950D4"/>
    <w:rsid w:val="00EB28CC"/>
    <w:rsid w:val="00EB55D4"/>
    <w:rsid w:val="00EF4E5C"/>
    <w:rsid w:val="00F176C8"/>
    <w:rsid w:val="00F234D3"/>
    <w:rsid w:val="00F3746B"/>
    <w:rsid w:val="00F56D97"/>
    <w:rsid w:val="00F67A7B"/>
    <w:rsid w:val="00F84CC8"/>
    <w:rsid w:val="00F92FF8"/>
    <w:rsid w:val="00FA57F8"/>
    <w:rsid w:val="00FA79B4"/>
    <w:rsid w:val="00FC617E"/>
    <w:rsid w:val="00FC7405"/>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85DD69A"/>
  <w15:docId w15:val="{57D6C481-B6A4-4C10-899F-82B08E66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46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virginiadot.org/business/resources/const/PublicNotificationOfSurfaceTreatmentTemplate.pdf"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yperlink" Target="mailto:customerservice@VDOT.Virginia.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Q105-000100-00.docx" TargetMode="External"/><Relationship Id="rId5" Type="http://schemas.openxmlformats.org/officeDocument/2006/relationships/numbering" Target="numbering.xml"/><Relationship Id="rId15" Type="http://schemas.openxmlformats.org/officeDocument/2006/relationships/hyperlink" Target="http://www.virginiadot.org/surfacetreatment" TargetMode="Externa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105</Sect>
    <Expiration_x0020_Date0 xmlns="0da6ca4d-3636-4380-ae91-0121f7d90329">5555-05-05T04:00:00+00:00</Expiration_x0020_Date0>
    <Contains_x0020_Fields xmlns="0da6ca4d-3636-4380-ae91-0121f7d90329">No</Contains_x0020_Fields>
    <Usage_x0020_Guidance xmlns="0da6ca4d-3636-4380-ae91-0121f7d90329">Surface treatment projects where on-street parking is permitted.{2007-SU105002A}</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SQ105-000100-00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04 Surface Treatment (T)</Lists_x0020__x0028_Specify_x0020_Other_x0029_>
    <Use_x0020__x002d__x0020_Not_x0020_All_x0020__x0028_Specify_x0029_ xmlns="0da6ca4d-3636-4380-ae91-0121f7d90329">Any; ASW-T(0)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33968A18-C15F-4B84-AEFF-616CC146B837}"/>
</file>

<file path=docProps/app.xml><?xml version="1.0" encoding="utf-8"?>
<Properties xmlns="http://schemas.openxmlformats.org/officeDocument/2006/extended-properties" xmlns:vt="http://schemas.openxmlformats.org/officeDocument/2006/docPropsVTypes">
  <Template>Normal</Template>
  <TotalTime>876</TotalTime>
  <Pages>4</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NOTIFICATION OF PARKING RESTRICTIONS (Surface Treatment) 8-18-15; R-7-12-16</dc:title>
  <dc:creator>vdot</dc:creator>
  <cp:lastModifiedBy>Gayle, David W. (VDOT)</cp:lastModifiedBy>
  <cp:revision>142</cp:revision>
  <dcterms:created xsi:type="dcterms:W3CDTF">2015-10-15T17:45:00Z</dcterms:created>
  <dcterms:modified xsi:type="dcterms:W3CDTF">2018-04-06T18:50:00Z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105</vt:lpwstr>
  </property>
  <property fmtid="{D5CDD505-2E9C-101B-9397-08002B2CF9AE}" pid="46" name="Specification Category">
    <vt:lpwstr>2</vt:lpwstr>
  </property>
  <property fmtid="{D5CDD505-2E9C-101B-9397-08002B2CF9AE}" pid="47" name="Usage Guidance">
    <vt:lpwstr>Surface treatment projects where on-street parking is permitted.{2007-SU105002A}</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SQ105-000100-00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https://outsidevdot.cov.virginia.gov/P0JQP/2016_Standard_Specifications/Forms/PLGG.aspx?View={059C9ADD-1EEB-4E46-8248-51123B71B3E6}&amp;FilterField1=ID&amp;FilterValue1=168, G</vt:lpwstr>
  </property>
</Properties>
</file>