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14170" w14:textId="6530E623" w:rsidR="00B34354" w:rsidRPr="000535D5" w:rsidRDefault="00B34354" w:rsidP="00B34354">
      <w:pPr>
        <w:jc w:val="both"/>
        <w:rPr>
          <w:vanish/>
          <w:color w:val="FF0000"/>
          <w:sz w:val="18"/>
          <w:szCs w:val="18"/>
        </w:rPr>
      </w:pPr>
      <w:r w:rsidRPr="000535D5">
        <w:rPr>
          <w:b/>
          <w:vanish/>
          <w:color w:val="FF0000"/>
          <w:spacing w:val="-3"/>
          <w:sz w:val="18"/>
          <w:szCs w:val="18"/>
        </w:rPr>
        <w:t>GUIDELINES</w:t>
      </w:r>
      <w:r w:rsidRPr="0079365F">
        <w:rPr>
          <w:b/>
          <w:vanish/>
          <w:color w:val="FF0000"/>
          <w:spacing w:val="-3"/>
          <w:sz w:val="18"/>
          <w:szCs w:val="18"/>
        </w:rPr>
        <w:t xml:space="preserve"> – </w:t>
      </w:r>
      <w:r w:rsidRPr="000535D5">
        <w:rPr>
          <w:vanish/>
          <w:color w:val="FF0000"/>
          <w:spacing w:val="-3"/>
          <w:sz w:val="18"/>
          <w:szCs w:val="18"/>
        </w:rPr>
        <w:t xml:space="preserve">Use when </w:t>
      </w:r>
      <w:r w:rsidRPr="000535D5">
        <w:rPr>
          <w:vanish/>
          <w:color w:val="FF0000"/>
          <w:sz w:val="18"/>
          <w:szCs w:val="18"/>
        </w:rPr>
        <w:t>requested by the designer for asphalt projects.</w:t>
      </w:r>
      <w:r w:rsidR="007525EB" w:rsidRPr="000535D5">
        <w:rPr>
          <w:vanish/>
          <w:color w:val="FF0000"/>
          <w:sz w:val="18"/>
        </w:rPr>
        <w:t xml:space="preserve"> {2007-</w:t>
      </w:r>
      <w:hyperlink r:id="rId11" w:tooltip="COLD CENTRAL PLANT RECYCLING MATERIAL PLACEMENT 8-7-15 Guidelines - USE WHEN REQUESTED BY THE DESIGNER FOR ASPHALT PROJECTS" w:history="1">
        <w:r w:rsidR="000535D5" w:rsidRPr="000535D5">
          <w:rPr>
            <w:rStyle w:val="Hyperlink"/>
            <w:vanish/>
            <w:color w:val="FF0000"/>
            <w:sz w:val="18"/>
            <w:szCs w:val="18"/>
          </w:rPr>
          <w:t>S315AB0</w:t>
        </w:r>
      </w:hyperlink>
      <w:r w:rsidR="007525EB" w:rsidRPr="000535D5">
        <w:rPr>
          <w:vanish/>
          <w:color w:val="FF0000"/>
          <w:sz w:val="18"/>
        </w:rPr>
        <w:t>}</w:t>
      </w:r>
    </w:p>
    <w:p w14:paraId="27184C6B" w14:textId="77777777" w:rsidR="00B34354" w:rsidRPr="000535D5" w:rsidRDefault="00B34354" w:rsidP="00B34354">
      <w:pPr>
        <w:jc w:val="both"/>
        <w:rPr>
          <w:vanish/>
          <w:color w:val="FF0000"/>
          <w:sz w:val="18"/>
          <w:szCs w:val="18"/>
        </w:rPr>
      </w:pPr>
    </w:p>
    <w:p w14:paraId="6A385978" w14:textId="3DC6539B" w:rsidR="00B34354" w:rsidRPr="004735D1" w:rsidRDefault="00530D79" w:rsidP="00B34354">
      <w:pPr>
        <w:ind w:left="1530" w:hanging="1530"/>
      </w:pPr>
      <w:hyperlink r:id="rId12" w:tooltip="COLD CENTRAL PLANT RECYCLING MATERIAL PLACEMENT 7-12-16 Guidelines-Use when requested by the designer for asphalt projects.{2007-S315AB0}" w:history="1">
        <w:r w:rsidRPr="004735D1">
          <w:rPr>
            <w:rStyle w:val="Hyperlink"/>
            <w:b/>
            <w:bCs/>
          </w:rPr>
          <w:t>SP315-000400-00</w:t>
        </w:r>
      </w:hyperlink>
      <w:bookmarkStart w:id="0" w:name="_GoBack"/>
      <w:bookmarkEnd w:id="0"/>
    </w:p>
    <w:p w14:paraId="0ECD3E11" w14:textId="77777777" w:rsidR="00B34354" w:rsidRPr="00F000BE" w:rsidRDefault="00B34354" w:rsidP="00B34354">
      <w:pPr>
        <w:suppressAutoHyphens/>
        <w:jc w:val="center"/>
      </w:pPr>
    </w:p>
    <w:p w14:paraId="72D2D41C" w14:textId="77777777" w:rsidR="00B34354" w:rsidRPr="00F000BE" w:rsidRDefault="00B34354" w:rsidP="00B34354">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1D203062" w14:textId="77777777" w:rsidR="00B34354" w:rsidRPr="00F000BE" w:rsidRDefault="00B34354" w:rsidP="00B34354">
      <w:pPr>
        <w:suppressAutoHyphens/>
        <w:jc w:val="center"/>
      </w:pPr>
      <w:r w:rsidRPr="00F000BE">
        <w:t>SPECIAL PROVISION FOR</w:t>
      </w:r>
    </w:p>
    <w:p w14:paraId="76ECDCF7" w14:textId="01DD384F" w:rsidR="00B34354" w:rsidRPr="00F000BE" w:rsidRDefault="00B34354" w:rsidP="00B34354">
      <w:pPr>
        <w:suppressAutoHyphens/>
        <w:jc w:val="center"/>
      </w:pPr>
      <w:r w:rsidRPr="00F000BE">
        <w:rPr>
          <w:rFonts w:cs="Arial"/>
          <w:b/>
        </w:rPr>
        <w:t>COLD CENTRAL PLANT RECYCLING MATERIAL PLACEMENT</w:t>
      </w:r>
      <w:r w:rsidRPr="00F000BE">
        <w:rPr>
          <w:b/>
        </w:rPr>
        <w:t xml:space="preserve"> </w:t>
      </w:r>
      <w:r w:rsidRPr="00F000BE">
        <w:rPr>
          <w:b/>
        </w:rPr>
        <w:fldChar w:fldCharType="begin"/>
      </w:r>
      <w:r w:rsidRPr="00F000BE">
        <w:instrText xml:space="preserve"> TC "</w:instrText>
      </w:r>
      <w:bookmarkStart w:id="1" w:name="_Toc447708160"/>
      <w:bookmarkStart w:id="2" w:name="_Toc448144532"/>
      <w:r w:rsidRPr="00F000BE">
        <w:rPr>
          <w:b/>
        </w:rPr>
        <w:instrText>SP315-000</w:instrText>
      </w:r>
      <w:r>
        <w:rPr>
          <w:b/>
        </w:rPr>
        <w:instrText>400</w:instrText>
      </w:r>
      <w:r w:rsidRPr="00F000BE">
        <w:rPr>
          <w:b/>
        </w:rPr>
        <w:instrText>-00</w:instrText>
      </w:r>
      <w:r w:rsidRPr="00F000BE">
        <w:rPr>
          <w:spacing w:val="-3"/>
        </w:rPr>
        <w:instrText>   </w:instrText>
      </w:r>
      <w:r w:rsidRPr="00F000BE">
        <w:rPr>
          <w:rFonts w:cs="Arial"/>
          <w:b/>
        </w:rPr>
        <w:instrText>COLD CENTRAL PLANT RECYCLING MAT’L PLAC</w:instrText>
      </w:r>
      <w:r w:rsidR="00546049">
        <w:rPr>
          <w:rFonts w:cs="Arial"/>
          <w:b/>
        </w:rPr>
        <w:instrText>ING</w:instrText>
      </w:r>
      <w:r w:rsidRPr="00F000BE">
        <w:instrText xml:space="preserve">  </w:instrText>
      </w:r>
      <w:r w:rsidR="006855CC">
        <w:instrText>7</w:instrText>
      </w:r>
      <w:r w:rsidRPr="00F000BE">
        <w:instrText>-</w:instrText>
      </w:r>
      <w:r w:rsidR="006855CC">
        <w:instrText>12</w:instrText>
      </w:r>
      <w:r w:rsidRPr="00F000BE">
        <w:instrText>-1</w:instrText>
      </w:r>
      <w:bookmarkEnd w:id="1"/>
      <w:bookmarkEnd w:id="2"/>
      <w:r w:rsidR="006855CC">
        <w:instrText>6</w:instrText>
      </w:r>
      <w:r w:rsidRPr="00F000BE">
        <w:instrText xml:space="preserve">" \f C \l "1" </w:instrText>
      </w:r>
      <w:r w:rsidRPr="00F000BE">
        <w:rPr>
          <w:b/>
        </w:rPr>
        <w:fldChar w:fldCharType="end"/>
      </w:r>
    </w:p>
    <w:p w14:paraId="77E5E6DD" w14:textId="77777777" w:rsidR="00B34354" w:rsidRPr="00F000BE" w:rsidRDefault="00B34354" w:rsidP="00B34354">
      <w:pPr>
        <w:suppressAutoHyphens/>
        <w:jc w:val="center"/>
        <w:rPr>
          <w:spacing w:val="-3"/>
        </w:rPr>
      </w:pPr>
    </w:p>
    <w:p w14:paraId="49D6A525" w14:textId="01CA3152" w:rsidR="00B34354" w:rsidRPr="00F000BE" w:rsidRDefault="006855CC" w:rsidP="00B34354">
      <w:pPr>
        <w:suppressAutoHyphens/>
        <w:jc w:val="right"/>
        <w:rPr>
          <w:spacing w:val="-3"/>
        </w:rPr>
      </w:pPr>
      <w:r>
        <w:rPr>
          <w:rFonts w:cs="Arial"/>
        </w:rPr>
        <w:t>July</w:t>
      </w:r>
      <w:r w:rsidR="00B34354" w:rsidRPr="00F000BE">
        <w:rPr>
          <w:rFonts w:cs="Arial"/>
        </w:rPr>
        <w:t xml:space="preserve"> </w:t>
      </w:r>
      <w:r>
        <w:rPr>
          <w:rFonts w:cs="Arial"/>
        </w:rPr>
        <w:t>12</w:t>
      </w:r>
      <w:r w:rsidR="00B34354" w:rsidRPr="00F000BE">
        <w:rPr>
          <w:rFonts w:cs="Arial"/>
        </w:rPr>
        <w:t>, 201</w:t>
      </w:r>
      <w:r>
        <w:rPr>
          <w:rFonts w:cs="Arial"/>
        </w:rPr>
        <w:t>6</w:t>
      </w:r>
    </w:p>
    <w:p w14:paraId="4A8A55D5" w14:textId="77777777" w:rsidR="00B34354" w:rsidRPr="00F000BE" w:rsidRDefault="00B34354" w:rsidP="00036CD3">
      <w:pPr>
        <w:jc w:val="both"/>
        <w:rPr>
          <w:rFonts w:cs="Arial"/>
          <w:b/>
        </w:rPr>
      </w:pPr>
    </w:p>
    <w:p w14:paraId="380B9A9B" w14:textId="77777777" w:rsidR="00B34354" w:rsidRPr="00F000BE" w:rsidRDefault="00B34354" w:rsidP="00F632F7">
      <w:pPr>
        <w:pStyle w:val="ListParagraph"/>
        <w:ind w:hanging="720"/>
        <w:jc w:val="both"/>
        <w:rPr>
          <w:rFonts w:cs="Arial"/>
          <w:szCs w:val="20"/>
        </w:rPr>
      </w:pPr>
      <w:r w:rsidRPr="00F000BE">
        <w:rPr>
          <w:rFonts w:cs="Arial"/>
          <w:b/>
          <w:szCs w:val="20"/>
        </w:rPr>
        <w:t>I.</w:t>
      </w:r>
      <w:r w:rsidRPr="00F000BE">
        <w:rPr>
          <w:rFonts w:cs="Arial"/>
          <w:b/>
          <w:szCs w:val="20"/>
        </w:rPr>
        <w:tab/>
        <w:t>Description</w:t>
      </w:r>
    </w:p>
    <w:p w14:paraId="3036F810" w14:textId="77777777" w:rsidR="00B34354" w:rsidRPr="00F000BE" w:rsidRDefault="00B34354" w:rsidP="00F632F7">
      <w:pPr>
        <w:pStyle w:val="NoSpacing"/>
        <w:ind w:left="720"/>
        <w:jc w:val="both"/>
        <w:rPr>
          <w:rFonts w:ascii="Arial" w:hAnsi="Arial" w:cs="Arial"/>
          <w:sz w:val="20"/>
          <w:szCs w:val="20"/>
        </w:rPr>
      </w:pPr>
    </w:p>
    <w:p w14:paraId="47D749CA" w14:textId="77777777" w:rsidR="00B34354" w:rsidRPr="00F000BE" w:rsidRDefault="00B34354" w:rsidP="00F632F7">
      <w:pPr>
        <w:pStyle w:val="NoSpacing"/>
        <w:ind w:left="720"/>
        <w:jc w:val="both"/>
        <w:rPr>
          <w:rFonts w:ascii="Arial" w:hAnsi="Arial" w:cs="Arial"/>
          <w:sz w:val="20"/>
          <w:szCs w:val="20"/>
        </w:rPr>
      </w:pPr>
      <w:r w:rsidRPr="00F000BE">
        <w:rPr>
          <w:rFonts w:ascii="Arial" w:hAnsi="Arial" w:cs="Arial"/>
          <w:sz w:val="20"/>
          <w:szCs w:val="20"/>
        </w:rPr>
        <w:t>This specification covers the furnishing, installation and acceptance criteria for Cold Central Plant Recycling (CCPRM) pavement.</w:t>
      </w:r>
    </w:p>
    <w:p w14:paraId="2936AB44" w14:textId="77777777" w:rsidR="00B34354" w:rsidRPr="00F000BE" w:rsidRDefault="00B34354" w:rsidP="00F632F7">
      <w:pPr>
        <w:pStyle w:val="NoSpacing"/>
        <w:ind w:left="720"/>
        <w:jc w:val="both"/>
        <w:rPr>
          <w:rFonts w:ascii="Arial" w:hAnsi="Arial" w:cs="Arial"/>
          <w:b/>
          <w:sz w:val="20"/>
          <w:szCs w:val="20"/>
        </w:rPr>
      </w:pPr>
    </w:p>
    <w:p w14:paraId="31552439" w14:textId="77777777" w:rsidR="00B34354" w:rsidRPr="00F000BE" w:rsidRDefault="00B34354" w:rsidP="00F632F7">
      <w:pPr>
        <w:ind w:left="630" w:hanging="630"/>
        <w:jc w:val="both"/>
        <w:rPr>
          <w:rFonts w:cs="Arial"/>
          <w:b/>
        </w:rPr>
      </w:pPr>
      <w:r w:rsidRPr="00F000BE">
        <w:rPr>
          <w:rFonts w:cs="Arial"/>
          <w:b/>
        </w:rPr>
        <w:t>II.</w:t>
      </w:r>
      <w:r w:rsidRPr="00F000BE">
        <w:rPr>
          <w:rFonts w:cs="Arial"/>
          <w:b/>
        </w:rPr>
        <w:tab/>
        <w:t>Materials</w:t>
      </w:r>
    </w:p>
    <w:p w14:paraId="2A5B745A" w14:textId="77777777" w:rsidR="00B34354" w:rsidRPr="00F000BE" w:rsidRDefault="00B34354" w:rsidP="00F632F7">
      <w:pPr>
        <w:pStyle w:val="ListParagraph"/>
        <w:ind w:left="1440" w:hanging="360"/>
        <w:jc w:val="both"/>
        <w:rPr>
          <w:rFonts w:cs="Arial"/>
          <w:szCs w:val="20"/>
        </w:rPr>
      </w:pPr>
    </w:p>
    <w:p w14:paraId="118B6BC7" w14:textId="635F3483" w:rsidR="00B34354" w:rsidRPr="00F000BE" w:rsidRDefault="00B34354" w:rsidP="00F632F7">
      <w:pPr>
        <w:pStyle w:val="ListParagraph"/>
        <w:ind w:left="1440" w:hanging="720"/>
        <w:jc w:val="both"/>
        <w:rPr>
          <w:rFonts w:cs="Arial"/>
          <w:szCs w:val="20"/>
        </w:rPr>
      </w:pPr>
      <w:r w:rsidRPr="00F000BE">
        <w:rPr>
          <w:rFonts w:cs="Arial"/>
          <w:szCs w:val="20"/>
        </w:rPr>
        <w:t>1.</w:t>
      </w:r>
      <w:r w:rsidRPr="00F000BE">
        <w:rPr>
          <w:rFonts w:cs="Arial"/>
          <w:b/>
          <w:szCs w:val="20"/>
        </w:rPr>
        <w:tab/>
        <w:t>Cold Central Plant Recycling</w:t>
      </w:r>
      <w:r w:rsidRPr="00F000BE">
        <w:rPr>
          <w:rFonts w:cs="Arial"/>
          <w:szCs w:val="20"/>
        </w:rPr>
        <w:t xml:space="preserve"> </w:t>
      </w:r>
      <w:r w:rsidRPr="00F000BE">
        <w:rPr>
          <w:rFonts w:cs="Arial"/>
          <w:b/>
          <w:szCs w:val="20"/>
        </w:rPr>
        <w:t>Material</w:t>
      </w:r>
      <w:r w:rsidRPr="00F000BE">
        <w:rPr>
          <w:rFonts w:cs="Arial"/>
          <w:szCs w:val="20"/>
        </w:rPr>
        <w:t xml:space="preserve"> (CCPRM) shall conform to the Special Provision for Cold Central Plant Recycling Material.</w:t>
      </w:r>
    </w:p>
    <w:p w14:paraId="2CB264EC" w14:textId="77777777" w:rsidR="00B34354" w:rsidRPr="00F000BE" w:rsidRDefault="00B34354" w:rsidP="00F632F7">
      <w:pPr>
        <w:pStyle w:val="ListParagraph"/>
        <w:ind w:left="1440" w:hanging="720"/>
        <w:jc w:val="both"/>
        <w:rPr>
          <w:rFonts w:cs="Arial"/>
          <w:szCs w:val="20"/>
        </w:rPr>
      </w:pPr>
    </w:p>
    <w:p w14:paraId="52D66AFB" w14:textId="566E7708" w:rsidR="00B34354" w:rsidRPr="00F000BE" w:rsidRDefault="00B34354" w:rsidP="00F632F7">
      <w:pPr>
        <w:pStyle w:val="ListParagraph"/>
        <w:ind w:left="1440" w:hanging="720"/>
        <w:jc w:val="both"/>
        <w:rPr>
          <w:rFonts w:cs="Arial"/>
          <w:szCs w:val="20"/>
        </w:rPr>
      </w:pPr>
      <w:r w:rsidRPr="00F000BE">
        <w:rPr>
          <w:rFonts w:cs="Arial"/>
          <w:szCs w:val="20"/>
        </w:rPr>
        <w:t>2.</w:t>
      </w:r>
      <w:r w:rsidRPr="00F000BE">
        <w:rPr>
          <w:rFonts w:cs="Arial"/>
          <w:b/>
          <w:szCs w:val="20"/>
        </w:rPr>
        <w:tab/>
        <w:t>Asphalt for tack coat</w:t>
      </w:r>
      <w:r w:rsidRPr="00F000BE">
        <w:rPr>
          <w:rFonts w:cs="Arial"/>
          <w:szCs w:val="20"/>
        </w:rPr>
        <w:t xml:space="preserve"> shall conform to Section 310 of the Specifications.</w:t>
      </w:r>
    </w:p>
    <w:p w14:paraId="06D2F056" w14:textId="77777777" w:rsidR="00B34354" w:rsidRPr="00F000BE" w:rsidRDefault="00B34354" w:rsidP="00F632F7">
      <w:pPr>
        <w:pStyle w:val="ListParagraph"/>
        <w:ind w:left="1440" w:hanging="720"/>
        <w:jc w:val="both"/>
        <w:rPr>
          <w:rFonts w:cs="Arial"/>
          <w:szCs w:val="20"/>
        </w:rPr>
      </w:pPr>
    </w:p>
    <w:p w14:paraId="655ABBDA" w14:textId="66D95EE5" w:rsidR="00B34354" w:rsidRPr="00F000BE" w:rsidRDefault="00B34354" w:rsidP="00F632F7">
      <w:pPr>
        <w:pStyle w:val="ListParagraph"/>
        <w:ind w:left="1440" w:hanging="720"/>
        <w:jc w:val="both"/>
        <w:rPr>
          <w:rFonts w:cs="Arial"/>
          <w:szCs w:val="20"/>
        </w:rPr>
      </w:pPr>
      <w:r w:rsidRPr="00F000BE">
        <w:rPr>
          <w:rFonts w:cs="Arial"/>
          <w:szCs w:val="20"/>
        </w:rPr>
        <w:t>3</w:t>
      </w:r>
      <w:r w:rsidRPr="00F000BE">
        <w:rPr>
          <w:rFonts w:cs="Arial"/>
          <w:b/>
          <w:szCs w:val="20"/>
        </w:rPr>
        <w:tab/>
        <w:t>Fog Seal</w:t>
      </w:r>
      <w:r w:rsidRPr="00F000BE">
        <w:rPr>
          <w:rFonts w:cs="Arial"/>
          <w:szCs w:val="20"/>
        </w:rPr>
        <w:t xml:space="preserve"> shall be a CSS-1h or CQS-1h conforming to Section 210 of the Specifications.</w:t>
      </w:r>
    </w:p>
    <w:p w14:paraId="64E58544" w14:textId="77777777" w:rsidR="00B34354" w:rsidRPr="00F000BE" w:rsidRDefault="00B34354" w:rsidP="00F632F7">
      <w:pPr>
        <w:pStyle w:val="ListParagraph"/>
        <w:ind w:left="1440" w:hanging="720"/>
        <w:jc w:val="both"/>
        <w:rPr>
          <w:rFonts w:cs="Arial"/>
          <w:szCs w:val="20"/>
        </w:rPr>
      </w:pPr>
    </w:p>
    <w:p w14:paraId="54367132" w14:textId="3C1A7419" w:rsidR="00B34354" w:rsidRPr="00F000BE" w:rsidRDefault="00B34354" w:rsidP="00F632F7">
      <w:pPr>
        <w:pStyle w:val="ListParagraph"/>
        <w:ind w:left="1440" w:hanging="720"/>
        <w:jc w:val="both"/>
        <w:rPr>
          <w:rFonts w:cs="Arial"/>
          <w:szCs w:val="20"/>
        </w:rPr>
      </w:pPr>
      <w:r w:rsidRPr="00F000BE">
        <w:rPr>
          <w:rFonts w:cs="Arial"/>
          <w:szCs w:val="20"/>
        </w:rPr>
        <w:t>4.</w:t>
      </w:r>
      <w:r w:rsidRPr="00F000BE">
        <w:rPr>
          <w:rFonts w:cs="Arial"/>
          <w:b/>
          <w:szCs w:val="20"/>
        </w:rPr>
        <w:tab/>
        <w:t>Fine Aggregate used for Grit application</w:t>
      </w:r>
      <w:r w:rsidRPr="00F000BE">
        <w:rPr>
          <w:rFonts w:cs="Arial"/>
          <w:szCs w:val="20"/>
        </w:rPr>
        <w:t xml:space="preserve"> shall conform to Section 202 of the Specifications.</w:t>
      </w:r>
    </w:p>
    <w:p w14:paraId="47A16FCB" w14:textId="77777777" w:rsidR="00B34354" w:rsidRPr="00F000BE" w:rsidRDefault="00B34354" w:rsidP="00F632F7">
      <w:pPr>
        <w:pStyle w:val="ListParagraph"/>
        <w:ind w:left="1440" w:hanging="720"/>
        <w:jc w:val="both"/>
        <w:rPr>
          <w:rFonts w:cs="Arial"/>
          <w:szCs w:val="20"/>
        </w:rPr>
      </w:pPr>
    </w:p>
    <w:p w14:paraId="174A966A" w14:textId="0742FFD5" w:rsidR="00B34354" w:rsidRPr="00F000BE" w:rsidRDefault="00B34354" w:rsidP="00F632F7">
      <w:pPr>
        <w:ind w:left="720" w:hanging="720"/>
        <w:jc w:val="both"/>
        <w:rPr>
          <w:rFonts w:cs="Arial"/>
          <w:b/>
        </w:rPr>
      </w:pPr>
      <w:r w:rsidRPr="00F000BE">
        <w:rPr>
          <w:rFonts w:cs="Arial"/>
          <w:b/>
        </w:rPr>
        <w:t>III.</w:t>
      </w:r>
      <w:r w:rsidRPr="00F000BE">
        <w:rPr>
          <w:rFonts w:cs="Arial"/>
          <w:b/>
        </w:rPr>
        <w:tab/>
        <w:t>Equipment</w:t>
      </w:r>
    </w:p>
    <w:p w14:paraId="237927EB" w14:textId="77777777" w:rsidR="00B34354" w:rsidRPr="00F000BE" w:rsidRDefault="00B34354" w:rsidP="00036CD3">
      <w:pPr>
        <w:ind w:left="360" w:hanging="360"/>
        <w:jc w:val="both"/>
        <w:rPr>
          <w:rFonts w:cs="Arial"/>
        </w:rPr>
      </w:pPr>
    </w:p>
    <w:p w14:paraId="79FD19D1" w14:textId="5DE4B50D" w:rsidR="00B34354" w:rsidRPr="00F000BE" w:rsidRDefault="00B34354" w:rsidP="00F632F7">
      <w:pPr>
        <w:pStyle w:val="ListParagraph"/>
        <w:ind w:left="1350" w:hanging="630"/>
        <w:jc w:val="both"/>
        <w:rPr>
          <w:rFonts w:cs="Arial"/>
          <w:szCs w:val="20"/>
        </w:rPr>
      </w:pPr>
      <w:r w:rsidRPr="00F000BE">
        <w:rPr>
          <w:rFonts w:cs="Arial"/>
          <w:szCs w:val="20"/>
        </w:rPr>
        <w:t>1.</w:t>
      </w:r>
      <w:r w:rsidRPr="00F000BE">
        <w:rPr>
          <w:rFonts w:cs="Arial"/>
          <w:szCs w:val="20"/>
        </w:rPr>
        <w:tab/>
      </w:r>
      <w:r w:rsidRPr="00F000BE">
        <w:rPr>
          <w:rFonts w:cs="Arial"/>
          <w:b/>
          <w:szCs w:val="20"/>
        </w:rPr>
        <w:t xml:space="preserve">Hauling Equipment </w:t>
      </w:r>
      <w:r w:rsidRPr="00F000BE">
        <w:rPr>
          <w:rFonts w:cs="Arial"/>
          <w:szCs w:val="20"/>
        </w:rPr>
        <w:t>shall conform to Section 315.03(a) of the Specifications.</w:t>
      </w:r>
    </w:p>
    <w:p w14:paraId="7DD450A5" w14:textId="77777777" w:rsidR="00B34354" w:rsidRPr="00F000BE" w:rsidRDefault="00B34354" w:rsidP="00F632F7">
      <w:pPr>
        <w:pStyle w:val="ListParagraph"/>
        <w:ind w:left="1350" w:hanging="630"/>
        <w:jc w:val="both"/>
        <w:rPr>
          <w:rFonts w:cs="Arial"/>
          <w:szCs w:val="20"/>
        </w:rPr>
      </w:pPr>
    </w:p>
    <w:p w14:paraId="5526D588" w14:textId="2A02A8FD" w:rsidR="00B34354" w:rsidRPr="00F000BE" w:rsidRDefault="00B34354" w:rsidP="00F632F7">
      <w:pPr>
        <w:pStyle w:val="ListParagraph"/>
        <w:ind w:left="1350" w:hanging="630"/>
        <w:jc w:val="both"/>
        <w:rPr>
          <w:rFonts w:cs="Arial"/>
          <w:szCs w:val="20"/>
        </w:rPr>
      </w:pPr>
      <w:r w:rsidRPr="00F000BE">
        <w:rPr>
          <w:rFonts w:cs="Arial"/>
          <w:szCs w:val="20"/>
        </w:rPr>
        <w:t>2.</w:t>
      </w:r>
      <w:r w:rsidRPr="00F000BE">
        <w:rPr>
          <w:rFonts w:cs="Arial"/>
          <w:szCs w:val="20"/>
        </w:rPr>
        <w:tab/>
      </w:r>
      <w:r w:rsidRPr="00F000BE">
        <w:rPr>
          <w:rFonts w:cs="Arial"/>
          <w:b/>
          <w:szCs w:val="20"/>
        </w:rPr>
        <w:t xml:space="preserve">Asphalt Pavers </w:t>
      </w:r>
      <w:r w:rsidRPr="00F000BE">
        <w:rPr>
          <w:rFonts w:cs="Arial"/>
          <w:szCs w:val="20"/>
        </w:rPr>
        <w:t>shall conform to Section 315.03(b) of the Specifications.</w:t>
      </w:r>
    </w:p>
    <w:p w14:paraId="4DDAAB88" w14:textId="77777777" w:rsidR="00B34354" w:rsidRPr="00F000BE" w:rsidRDefault="00B34354" w:rsidP="00F632F7">
      <w:pPr>
        <w:pStyle w:val="ListParagraph"/>
        <w:ind w:left="1350" w:hanging="630"/>
        <w:jc w:val="both"/>
        <w:rPr>
          <w:rFonts w:cs="Arial"/>
          <w:szCs w:val="20"/>
        </w:rPr>
      </w:pPr>
    </w:p>
    <w:p w14:paraId="58F3542D" w14:textId="3A670AAD" w:rsidR="00B34354" w:rsidRPr="00F000BE" w:rsidRDefault="00B34354" w:rsidP="00F632F7">
      <w:pPr>
        <w:pStyle w:val="ListParagraph"/>
        <w:ind w:left="1350" w:hanging="630"/>
        <w:jc w:val="both"/>
        <w:rPr>
          <w:rFonts w:cs="Arial"/>
          <w:szCs w:val="20"/>
        </w:rPr>
      </w:pPr>
      <w:r w:rsidRPr="00F000BE">
        <w:rPr>
          <w:rFonts w:cs="Arial"/>
          <w:szCs w:val="20"/>
        </w:rPr>
        <w:t>3.</w:t>
      </w:r>
      <w:r w:rsidRPr="00F000BE">
        <w:rPr>
          <w:rFonts w:cs="Arial"/>
          <w:szCs w:val="20"/>
        </w:rPr>
        <w:tab/>
      </w:r>
      <w:r w:rsidRPr="00F000BE">
        <w:rPr>
          <w:rFonts w:cs="Arial"/>
          <w:b/>
          <w:szCs w:val="20"/>
        </w:rPr>
        <w:t>Rollers</w:t>
      </w:r>
      <w:r w:rsidRPr="00F000BE">
        <w:rPr>
          <w:rFonts w:cs="Arial"/>
          <w:szCs w:val="20"/>
        </w:rPr>
        <w:t xml:space="preserve"> shall conform to Section 315.03(c) of the Specifications.</w:t>
      </w:r>
    </w:p>
    <w:p w14:paraId="09F11F0A" w14:textId="77777777" w:rsidR="00B34354" w:rsidRPr="00F000BE" w:rsidRDefault="00B34354" w:rsidP="00036CD3">
      <w:pPr>
        <w:ind w:left="360" w:hanging="360"/>
        <w:jc w:val="both"/>
        <w:rPr>
          <w:rFonts w:cs="Arial"/>
          <w:b/>
        </w:rPr>
      </w:pPr>
    </w:p>
    <w:p w14:paraId="02406A33" w14:textId="77777777" w:rsidR="00B34354" w:rsidRPr="00F000BE" w:rsidRDefault="00B34354" w:rsidP="00F632F7">
      <w:pPr>
        <w:ind w:left="720" w:hanging="720"/>
        <w:jc w:val="both"/>
        <w:rPr>
          <w:rFonts w:cs="Arial"/>
        </w:rPr>
      </w:pPr>
      <w:r w:rsidRPr="00F000BE">
        <w:rPr>
          <w:rFonts w:cs="Arial"/>
          <w:b/>
        </w:rPr>
        <w:t>IV.</w:t>
      </w:r>
      <w:r w:rsidRPr="00F000BE">
        <w:rPr>
          <w:rFonts w:cs="Arial"/>
          <w:b/>
        </w:rPr>
        <w:tab/>
        <w:t>Weather Limitations</w:t>
      </w:r>
    </w:p>
    <w:p w14:paraId="7C36D667" w14:textId="77777777" w:rsidR="00B34354" w:rsidRPr="00F000BE" w:rsidRDefault="00B34354" w:rsidP="00F632F7">
      <w:pPr>
        <w:ind w:left="720"/>
        <w:jc w:val="both"/>
        <w:rPr>
          <w:rFonts w:cs="Arial"/>
        </w:rPr>
      </w:pPr>
    </w:p>
    <w:p w14:paraId="5ECC303E" w14:textId="6BD6221C" w:rsidR="00B34354" w:rsidRPr="00F000BE" w:rsidRDefault="00B34354" w:rsidP="00F632F7">
      <w:pPr>
        <w:ind w:left="720"/>
        <w:jc w:val="both"/>
        <w:rPr>
          <w:rFonts w:cs="Arial"/>
        </w:rPr>
      </w:pPr>
      <w:r w:rsidRPr="00F000BE">
        <w:rPr>
          <w:rFonts w:cs="Arial"/>
        </w:rPr>
        <w:t xml:space="preserve">Recycling operations shall be completed when both the atmospheric temperature and material to be processed (measured in the shade and away from artificial heat) is a minimum 50°F (10 °C).  The weather forecast shall not call for freezing temperatures within 48 hours after placement of the CCPRM </w:t>
      </w:r>
      <w:r w:rsidR="00723272">
        <w:rPr>
          <w:rFonts w:cs="Arial"/>
        </w:rPr>
        <w:t>on any portion of the project.</w:t>
      </w:r>
    </w:p>
    <w:p w14:paraId="5A63B0D5" w14:textId="77777777" w:rsidR="00B34354" w:rsidRPr="00F000BE" w:rsidRDefault="00B34354" w:rsidP="00F632F7">
      <w:pPr>
        <w:ind w:left="720"/>
        <w:jc w:val="both"/>
        <w:rPr>
          <w:rFonts w:cs="Arial"/>
          <w:b/>
        </w:rPr>
      </w:pPr>
    </w:p>
    <w:p w14:paraId="3D83D450" w14:textId="77777777" w:rsidR="00B34354" w:rsidRPr="00F000BE" w:rsidRDefault="00B34354" w:rsidP="00F632F7">
      <w:pPr>
        <w:ind w:left="720" w:hanging="720"/>
        <w:jc w:val="both"/>
        <w:rPr>
          <w:rFonts w:cs="Arial"/>
          <w:b/>
        </w:rPr>
      </w:pPr>
      <w:r w:rsidRPr="00F000BE">
        <w:rPr>
          <w:rFonts w:cs="Arial"/>
          <w:b/>
        </w:rPr>
        <w:t>V.</w:t>
      </w:r>
      <w:r w:rsidRPr="00F000BE">
        <w:rPr>
          <w:rFonts w:cs="Arial"/>
          <w:b/>
        </w:rPr>
        <w:tab/>
        <w:t>Placing and Finishing</w:t>
      </w:r>
    </w:p>
    <w:p w14:paraId="0574E159" w14:textId="77777777" w:rsidR="00B34354" w:rsidRPr="00F000BE" w:rsidRDefault="00B34354" w:rsidP="00F632F7">
      <w:pPr>
        <w:ind w:left="720"/>
        <w:jc w:val="both"/>
        <w:rPr>
          <w:rFonts w:cs="Arial"/>
          <w:b/>
        </w:rPr>
      </w:pPr>
    </w:p>
    <w:p w14:paraId="6FF5D677" w14:textId="77777777" w:rsidR="00B34354" w:rsidRPr="00F000BE" w:rsidRDefault="00B34354" w:rsidP="00F632F7">
      <w:pPr>
        <w:pStyle w:val="ListParagraph"/>
        <w:spacing w:line="240" w:lineRule="exact"/>
        <w:ind w:left="1440" w:hanging="720"/>
        <w:jc w:val="both"/>
        <w:rPr>
          <w:rFonts w:cs="Arial"/>
          <w:szCs w:val="20"/>
        </w:rPr>
      </w:pPr>
      <w:r w:rsidRPr="00F000BE">
        <w:rPr>
          <w:rFonts w:cs="Arial"/>
          <w:szCs w:val="20"/>
        </w:rPr>
        <w:t>1.</w:t>
      </w:r>
      <w:r w:rsidRPr="00F000BE">
        <w:rPr>
          <w:rFonts w:cs="Arial"/>
          <w:szCs w:val="20"/>
        </w:rPr>
        <w:tab/>
        <w:t>Emulsified Asphalt, used as a stabilizing agent, shall not be used when placement occurs during night time hours and will be opened to traffic the next morning.</w:t>
      </w:r>
    </w:p>
    <w:p w14:paraId="453189D8" w14:textId="77777777" w:rsidR="00B34354" w:rsidRPr="00F000BE" w:rsidRDefault="00B34354" w:rsidP="00F632F7">
      <w:pPr>
        <w:pStyle w:val="ListParagraph"/>
        <w:ind w:left="1440" w:hanging="720"/>
        <w:jc w:val="both"/>
        <w:rPr>
          <w:rFonts w:cs="Arial"/>
          <w:szCs w:val="20"/>
        </w:rPr>
      </w:pPr>
    </w:p>
    <w:p w14:paraId="1881EBA1" w14:textId="15710033" w:rsidR="00B34354" w:rsidRPr="00F000BE" w:rsidRDefault="00B34354" w:rsidP="00F632F7">
      <w:pPr>
        <w:pStyle w:val="ListParagraph"/>
        <w:ind w:left="1440" w:hanging="720"/>
        <w:jc w:val="both"/>
        <w:rPr>
          <w:rFonts w:cs="Arial"/>
          <w:szCs w:val="20"/>
        </w:rPr>
      </w:pPr>
      <w:r w:rsidRPr="00F000BE">
        <w:rPr>
          <w:rFonts w:cs="Arial"/>
          <w:szCs w:val="20"/>
        </w:rPr>
        <w:t>2.</w:t>
      </w:r>
      <w:r w:rsidRPr="00F000BE">
        <w:rPr>
          <w:rFonts w:cs="Arial"/>
          <w:szCs w:val="20"/>
        </w:rPr>
        <w:tab/>
        <w:t>Compaction of the recycled mix shall be completed using rollers meeting the requirements herein.  In addition, the vibratory setting shall be at the highest frequency and lowest amplitude setting.  The Contractor shall establish rolling patterns to achieve the density target as determined by nuclear density testing.  Final rolling to eliminate pneumatic tire marks and to achieve density shall be done by double drum steel roller(s), either operating in a static, oscillating or vibratory mode.  Oscillating and vibratory mode should only be used if it is shown to not damage the pavement.  Rolling shall be performed until the material reaches a density of 98</w:t>
      </w:r>
      <w:r w:rsidR="006C43BE">
        <w:rPr>
          <w:rFonts w:cs="Arial"/>
          <w:szCs w:val="20"/>
        </w:rPr>
        <w:t xml:space="preserve"> percent</w:t>
      </w:r>
      <w:r w:rsidRPr="00F000BE">
        <w:rPr>
          <w:rFonts w:cs="Arial"/>
          <w:szCs w:val="20"/>
        </w:rPr>
        <w:t xml:space="preserve"> of the maximum theoretical </w:t>
      </w:r>
      <w:r w:rsidRPr="00F000BE">
        <w:rPr>
          <w:rFonts w:cs="Arial"/>
          <w:szCs w:val="20"/>
        </w:rPr>
        <w:lastRenderedPageBreak/>
        <w:t>density from the mix design as measured via a nuclear density gauge.  Rolling shall start no more than 30 minutes after initiation of paving.  Finish rolling shall be completed no more than one hour after paving is completed, unless otherwise approved by the Engineer.  When possible, rolling shall not be started or stopped on uncompacted material, but performed with rolling patterns established so that they begin or end on previously compacted material or the existing pavement.</w:t>
      </w:r>
    </w:p>
    <w:p w14:paraId="4B392FE4" w14:textId="77777777" w:rsidR="00B34354" w:rsidRPr="00F000BE" w:rsidRDefault="00B34354" w:rsidP="00F632F7">
      <w:pPr>
        <w:pStyle w:val="ListParagraph"/>
        <w:ind w:left="1440" w:hanging="720"/>
        <w:jc w:val="both"/>
        <w:rPr>
          <w:rFonts w:cs="Arial"/>
          <w:szCs w:val="20"/>
        </w:rPr>
      </w:pPr>
    </w:p>
    <w:p w14:paraId="6BEF24B4" w14:textId="4319AFA7" w:rsidR="00B34354" w:rsidRPr="00F000BE" w:rsidRDefault="00B34354" w:rsidP="00F632F7">
      <w:pPr>
        <w:pStyle w:val="ListParagraph"/>
        <w:ind w:left="1440" w:hanging="720"/>
        <w:jc w:val="both"/>
        <w:rPr>
          <w:rFonts w:cs="Arial"/>
          <w:szCs w:val="20"/>
        </w:rPr>
      </w:pPr>
      <w:r w:rsidRPr="00F000BE">
        <w:rPr>
          <w:rFonts w:cs="Arial"/>
          <w:szCs w:val="20"/>
        </w:rPr>
        <w:t>3.</w:t>
      </w:r>
      <w:r w:rsidRPr="00F000BE">
        <w:rPr>
          <w:rFonts w:cs="Arial"/>
          <w:szCs w:val="20"/>
        </w:rPr>
        <w:tab/>
        <w:t>If CCPRM is subjected to traffic, after compaction of the recycled material but prior to asphalt overlay, a fog seal and grit application shall be applied.  The fog seal shall be applied to the recycled surface at a uniform application rate of 0.06 gal/sy (0.04 gal.sy residual).  The fog seal shall be a CSS-1h, CQS-1h, or Non Tracking Tack Coat conforming to Section 310 of the Specifications.  A light grit shall be applied to the fog seal to aide in the reduction of CCPRM pickup and raveling.  After fog sealing, no traffic, including the Contractor’s equipment, will be permitted on the completed recycled material for at least two (2) hours.  After two hours rolling traffic may be permitted on the recycled material.  This time may be adjusted by the Engineer to allow establishment of sufficient cure so traffic will not initiate raveling.  After opening to traffic, the surface of the recycled pavement shall be maintained in a condition suitable for the safe movement of traffic.  All loose particles that may develop on the pavement surface shall be removed without damaging the surface.</w:t>
      </w:r>
    </w:p>
    <w:p w14:paraId="505FF64A" w14:textId="77777777" w:rsidR="00B34354" w:rsidRPr="00F000BE" w:rsidRDefault="00B34354" w:rsidP="00F632F7">
      <w:pPr>
        <w:pStyle w:val="ListParagraph"/>
        <w:ind w:left="1440" w:hanging="720"/>
        <w:jc w:val="both"/>
        <w:rPr>
          <w:rFonts w:cs="Arial"/>
          <w:szCs w:val="20"/>
        </w:rPr>
      </w:pPr>
    </w:p>
    <w:p w14:paraId="0C785A1D" w14:textId="63CBAD93" w:rsidR="00B34354" w:rsidRPr="00F000BE" w:rsidRDefault="00B34354" w:rsidP="00F632F7">
      <w:pPr>
        <w:pStyle w:val="ListParagraph"/>
        <w:ind w:left="1440" w:hanging="720"/>
        <w:jc w:val="both"/>
        <w:rPr>
          <w:rFonts w:cs="Arial"/>
          <w:szCs w:val="20"/>
        </w:rPr>
      </w:pPr>
      <w:r w:rsidRPr="00F000BE">
        <w:rPr>
          <w:rFonts w:cs="Arial"/>
          <w:szCs w:val="20"/>
        </w:rPr>
        <w:t>4.</w:t>
      </w:r>
      <w:r w:rsidRPr="00F000BE">
        <w:rPr>
          <w:rFonts w:cs="Arial"/>
          <w:szCs w:val="20"/>
        </w:rPr>
        <w:tab/>
        <w:t xml:space="preserve">Any damage to the completed CCPRM, such as raveling or other surface imperfections, shall be repaired by the Contractor at their expense, to the Engineer’s satisfaction </w:t>
      </w:r>
      <w:r w:rsidR="006334FD">
        <w:rPr>
          <w:rFonts w:cs="Arial"/>
          <w:szCs w:val="20"/>
        </w:rPr>
        <w:t>according to</w:t>
      </w:r>
      <w:r w:rsidRPr="00F000BE">
        <w:rPr>
          <w:rFonts w:cs="Arial"/>
          <w:szCs w:val="20"/>
        </w:rPr>
        <w:t xml:space="preserve"> Section 105.14 of the Specifications, prior to the placement of any additional asphalt layer(s), or other applicable surface treatment.  </w:t>
      </w:r>
    </w:p>
    <w:p w14:paraId="0025CD3A" w14:textId="77777777" w:rsidR="00B34354" w:rsidRPr="00F000BE" w:rsidRDefault="00B34354" w:rsidP="00F632F7">
      <w:pPr>
        <w:pStyle w:val="ListParagraph"/>
        <w:ind w:left="1440" w:hanging="720"/>
        <w:jc w:val="both"/>
        <w:rPr>
          <w:rFonts w:cs="Arial"/>
          <w:szCs w:val="20"/>
        </w:rPr>
      </w:pPr>
    </w:p>
    <w:p w14:paraId="453ED082" w14:textId="4F8A644D" w:rsidR="00B34354" w:rsidRPr="00F000BE" w:rsidRDefault="00B34354" w:rsidP="00F632F7">
      <w:pPr>
        <w:pStyle w:val="ListParagraph"/>
        <w:ind w:left="1440" w:hanging="720"/>
        <w:jc w:val="both"/>
        <w:rPr>
          <w:rFonts w:cs="Arial"/>
          <w:szCs w:val="20"/>
        </w:rPr>
      </w:pPr>
      <w:r w:rsidRPr="00F000BE">
        <w:rPr>
          <w:rFonts w:cs="Arial"/>
          <w:szCs w:val="20"/>
        </w:rPr>
        <w:t>5.</w:t>
      </w:r>
      <w:r w:rsidRPr="00F000BE">
        <w:rPr>
          <w:rFonts w:cs="Arial"/>
          <w:szCs w:val="20"/>
        </w:rPr>
        <w:tab/>
        <w:t>Before placing any asphalt layer(s), additional CCPRM layers or other applicable surface treatment, the CCPRM shall be allowed to cure until the moisture of the material is a maximum of 50</w:t>
      </w:r>
      <w:r w:rsidR="00723272">
        <w:rPr>
          <w:rFonts w:cs="Arial"/>
          <w:szCs w:val="20"/>
        </w:rPr>
        <w:t xml:space="preserve"> percent</w:t>
      </w:r>
      <w:r w:rsidRPr="00F000BE">
        <w:rPr>
          <w:rFonts w:cs="Arial"/>
          <w:szCs w:val="20"/>
        </w:rPr>
        <w:t xml:space="preserve"> of the optimum moisture content or until approval of the Engineer is received.  Moisture content shall be measured per AASHTO T 329 on samples (immediately placed in sealed plastic bag) taken from two stratified random locations as determined by the Engineer per each production day. Other methods and sampling rates may be used if supplied in the Contractor’s Quality Control Plan and approved by the Engineer.  Split samples may be taken at the direction of the Engineer.  Split samples may be part of the stratified random locations or at additional locations determined by the Engineer.  A tack coat, </w:t>
      </w:r>
      <w:r w:rsidR="00675572">
        <w:rPr>
          <w:rFonts w:cs="Arial"/>
          <w:szCs w:val="20"/>
        </w:rPr>
        <w:t>according to</w:t>
      </w:r>
      <w:r w:rsidRPr="00F000BE">
        <w:rPr>
          <w:rFonts w:cs="Arial"/>
          <w:szCs w:val="20"/>
        </w:rPr>
        <w:t xml:space="preserve"> Section 310 of the Specifications, shall be applied prior to any additional asphalt layers.</w:t>
      </w:r>
      <w:r w:rsidRPr="00F000BE">
        <w:rPr>
          <w:rFonts w:cs="Arial"/>
          <w:b/>
          <w:szCs w:val="20"/>
        </w:rPr>
        <w:t xml:space="preserve">  CCPRM shall not be used as a final riding surface.</w:t>
      </w:r>
    </w:p>
    <w:p w14:paraId="15D1EC0A" w14:textId="77777777" w:rsidR="00B34354" w:rsidRPr="00F000BE" w:rsidRDefault="00B34354" w:rsidP="00F632F7">
      <w:pPr>
        <w:pStyle w:val="ListParagraph"/>
        <w:ind w:left="1440" w:hanging="720"/>
        <w:jc w:val="both"/>
        <w:rPr>
          <w:rFonts w:cs="Arial"/>
          <w:szCs w:val="20"/>
        </w:rPr>
      </w:pPr>
    </w:p>
    <w:p w14:paraId="3158F135" w14:textId="77777777" w:rsidR="00B34354" w:rsidRPr="00F000BE" w:rsidRDefault="00B34354" w:rsidP="00F632F7">
      <w:pPr>
        <w:pStyle w:val="ListParagraph"/>
        <w:ind w:hanging="720"/>
        <w:jc w:val="both"/>
        <w:rPr>
          <w:rFonts w:cs="Arial"/>
          <w:szCs w:val="20"/>
        </w:rPr>
      </w:pPr>
      <w:r w:rsidRPr="00F000BE">
        <w:rPr>
          <w:rFonts w:cs="Arial"/>
          <w:b/>
          <w:szCs w:val="20"/>
        </w:rPr>
        <w:t>VI.</w:t>
      </w:r>
      <w:r w:rsidRPr="00F000BE">
        <w:rPr>
          <w:rFonts w:cs="Arial"/>
          <w:b/>
          <w:szCs w:val="20"/>
        </w:rPr>
        <w:tab/>
        <w:t>Acceptance</w:t>
      </w:r>
    </w:p>
    <w:p w14:paraId="3C2A5339" w14:textId="77777777" w:rsidR="00B34354" w:rsidRPr="00F000BE" w:rsidRDefault="00B34354" w:rsidP="00F632F7">
      <w:pPr>
        <w:pStyle w:val="ListParagraph"/>
        <w:jc w:val="both"/>
        <w:rPr>
          <w:rFonts w:cs="Arial"/>
          <w:szCs w:val="20"/>
        </w:rPr>
      </w:pPr>
    </w:p>
    <w:p w14:paraId="3EC78ACC" w14:textId="4B7466EB" w:rsidR="00B34354" w:rsidRPr="00F000BE" w:rsidRDefault="00B34354" w:rsidP="00F632F7">
      <w:pPr>
        <w:pStyle w:val="ListParagraph"/>
        <w:suppressAutoHyphens/>
        <w:ind w:left="1440" w:hanging="720"/>
        <w:jc w:val="both"/>
        <w:rPr>
          <w:rFonts w:cs="Arial"/>
          <w:szCs w:val="20"/>
        </w:rPr>
      </w:pPr>
      <w:r w:rsidRPr="00F000BE">
        <w:rPr>
          <w:rFonts w:cs="Arial"/>
          <w:szCs w:val="20"/>
        </w:rPr>
        <w:t>1.</w:t>
      </w:r>
      <w:r w:rsidRPr="00F000BE">
        <w:rPr>
          <w:rFonts w:cs="Arial"/>
          <w:szCs w:val="20"/>
        </w:rPr>
        <w:tab/>
      </w:r>
      <w:r w:rsidRPr="00F000BE">
        <w:rPr>
          <w:rFonts w:cs="Arial"/>
          <w:b/>
          <w:szCs w:val="20"/>
        </w:rPr>
        <w:t xml:space="preserve">Field Compaction </w:t>
      </w:r>
      <w:r w:rsidRPr="00F000BE">
        <w:rPr>
          <w:rFonts w:cs="Arial"/>
          <w:szCs w:val="20"/>
        </w:rPr>
        <w:t xml:space="preserve">–A nuclear density gauge conforming to VTM-10 shall be used for determining mat density by the Direct Transmission method.  The Contractor’s nuclear density gauge shall have been calibrated within the previous 12 months by an approved calibration service.  In addition, the Contractor shall maintain documentation of such calibration service for the 12-month period from the date of the calibration service and furnish the same to the Engineer if requested.  The Contractor shall determine a roller pattern and construct a control strip </w:t>
      </w:r>
      <w:r w:rsidR="006334FD">
        <w:rPr>
          <w:rFonts w:cs="Arial"/>
          <w:szCs w:val="20"/>
        </w:rPr>
        <w:t>according to</w:t>
      </w:r>
      <w:r w:rsidRPr="00F000BE">
        <w:rPr>
          <w:rFonts w:cs="Arial"/>
          <w:szCs w:val="20"/>
        </w:rPr>
        <w:t xml:space="preserve"> VTM-10.  Density test locations shall be marked and labeled </w:t>
      </w:r>
      <w:r w:rsidR="006334FD">
        <w:rPr>
          <w:rFonts w:cs="Arial"/>
          <w:szCs w:val="20"/>
        </w:rPr>
        <w:t>according to</w:t>
      </w:r>
      <w:r w:rsidRPr="00F000BE">
        <w:rPr>
          <w:rFonts w:cs="Arial"/>
          <w:szCs w:val="20"/>
        </w:rPr>
        <w:t xml:space="preserve"> VTM-76.  The control strip will be acceptable if the field proctor (AASHTO T 180, Method D) is at least 98</w:t>
      </w:r>
      <w:r w:rsidR="00D52587">
        <w:rPr>
          <w:rFonts w:cs="Arial"/>
          <w:szCs w:val="20"/>
        </w:rPr>
        <w:t xml:space="preserve"> percent</w:t>
      </w:r>
      <w:r w:rsidRPr="00F000BE">
        <w:rPr>
          <w:rFonts w:cs="Arial"/>
          <w:szCs w:val="20"/>
        </w:rPr>
        <w:t xml:space="preserve"> of the maximum theoretical density from the approved job mix design.   The required density of the compacted CCPRM course shall not be less than 98.0 percent of the maximum theoretical density from the approved job mix design.  The Contractor will construct an additional control strip when a change in the source of material is made; when a change in compaction equipment is made; when a significant change occurs in the composition of the material being placed from the same source; or when there is a failing test section. </w:t>
      </w:r>
    </w:p>
    <w:p w14:paraId="08248CD4" w14:textId="77777777" w:rsidR="00B34354" w:rsidRPr="00F000BE" w:rsidRDefault="00B34354" w:rsidP="00F632F7">
      <w:pPr>
        <w:pStyle w:val="NoSpacing"/>
        <w:ind w:left="1440"/>
        <w:jc w:val="both"/>
        <w:rPr>
          <w:rFonts w:ascii="Arial" w:hAnsi="Arial" w:cs="Arial"/>
          <w:sz w:val="20"/>
          <w:szCs w:val="20"/>
        </w:rPr>
      </w:pPr>
    </w:p>
    <w:p w14:paraId="7D3B56E3" w14:textId="77777777" w:rsidR="00B34354" w:rsidRPr="00F000BE" w:rsidRDefault="00B34354" w:rsidP="00F632F7">
      <w:pPr>
        <w:ind w:left="1440"/>
        <w:jc w:val="both"/>
        <w:rPr>
          <w:rFonts w:cs="Arial"/>
        </w:rPr>
      </w:pPr>
      <w:r w:rsidRPr="00F000BE">
        <w:rPr>
          <w:rFonts w:cs="Arial"/>
        </w:rPr>
        <w:t>Test section (lot) – For the purposes of acceptance, each day’s production will be considered a lot unless the paving length is less than 3,000 linear feet or greater than 7,500 linear feet.  When paving is less than 3,000 linear feet, it shall be combined with the previous day’s production or added to the next day’s production to create a lot as described below.</w:t>
      </w:r>
    </w:p>
    <w:p w14:paraId="6881334E" w14:textId="77777777" w:rsidR="00B34354" w:rsidRPr="00F000BE" w:rsidRDefault="00B34354" w:rsidP="00F632F7">
      <w:pPr>
        <w:ind w:left="1440"/>
        <w:jc w:val="both"/>
        <w:rPr>
          <w:rFonts w:cs="Arial"/>
        </w:rPr>
      </w:pPr>
    </w:p>
    <w:p w14:paraId="3F9A264E" w14:textId="77777777" w:rsidR="00B34354" w:rsidRPr="00F000BE" w:rsidRDefault="00B34354" w:rsidP="00F632F7">
      <w:pPr>
        <w:ind w:left="1440"/>
        <w:jc w:val="both"/>
        <w:rPr>
          <w:rFonts w:cs="Arial"/>
        </w:rPr>
      </w:pPr>
      <w:r w:rsidRPr="00F000BE">
        <w:rPr>
          <w:rFonts w:cs="Arial"/>
        </w:rPr>
        <w:t>The standard size of a lot shall be 5,000 linear feet, with 1,000 linear foot sublots, of any pass 6 feet or greater made by the paving train for the thickness of the course.  If the Engineer approves, the lot size may be increased to 7,500 linear foot lots with five 1,500 foot sublots when the Contractor’s normal daily production exceeds 7,500 feet.  Pavers traveling in echelon will be considered as two passes.  When a partial lot occurs at the end of a day’s production or upon completion of the project, the lot shall be 1) added to the previous lot if the partial lot contains one or two complete sublots or 2) redefined to be an entire lot if the partial lot contains three or four complete sublots.</w:t>
      </w:r>
    </w:p>
    <w:p w14:paraId="17BC588D" w14:textId="77777777" w:rsidR="00B34354" w:rsidRPr="00F000BE" w:rsidRDefault="00B34354" w:rsidP="00F632F7">
      <w:pPr>
        <w:ind w:left="1440"/>
        <w:jc w:val="both"/>
        <w:rPr>
          <w:rFonts w:cs="Arial"/>
        </w:rPr>
      </w:pPr>
    </w:p>
    <w:p w14:paraId="2F9DE760" w14:textId="77777777" w:rsidR="00B34354" w:rsidRPr="00F000BE" w:rsidRDefault="00B34354" w:rsidP="00F632F7">
      <w:pPr>
        <w:ind w:left="1440"/>
        <w:jc w:val="both"/>
        <w:rPr>
          <w:rFonts w:cs="Arial"/>
        </w:rPr>
      </w:pPr>
      <w:r w:rsidRPr="00F000BE">
        <w:rPr>
          <w:rFonts w:cs="Arial"/>
        </w:rPr>
        <w:t>The Contractor shall test each lot for acceptance for density by taking a nuclear density reading from two random test sites selected by the Engineer within each sublot.  Test sites shall not be located within 18 inches of the edge of any application width of CCPRM.</w:t>
      </w:r>
    </w:p>
    <w:p w14:paraId="57C212A8" w14:textId="77777777" w:rsidR="00B34354" w:rsidRPr="00F000BE" w:rsidRDefault="00B34354" w:rsidP="00F632F7">
      <w:pPr>
        <w:ind w:left="1440"/>
        <w:jc w:val="both"/>
        <w:rPr>
          <w:rFonts w:cs="Arial"/>
        </w:rPr>
      </w:pPr>
    </w:p>
    <w:p w14:paraId="4B52AD7E" w14:textId="033D2561" w:rsidR="00B34354" w:rsidRPr="00F000BE" w:rsidRDefault="00B34354" w:rsidP="00F632F7">
      <w:pPr>
        <w:ind w:left="1440"/>
        <w:jc w:val="both"/>
        <w:rPr>
          <w:rFonts w:cs="Arial"/>
        </w:rPr>
      </w:pPr>
      <w:r w:rsidRPr="00F000BE">
        <w:rPr>
          <w:rFonts w:cs="Arial"/>
        </w:rPr>
        <w:t>The average of the sublot density measurements will be compared to the target nuclear density established by the approved job mix design to determine the acceptability of the lot. Once the average density of the lot has been determined, the Contractor will not be permitted to provide additional compaction to raise the average.  If two consecutive sublots produce density results less than 98 percent of the maximum theoretical density, the Contractor shall immediately notify the Engineer and institute corrective action to bring lot density to at least 98</w:t>
      </w:r>
      <w:r w:rsidR="00D52587">
        <w:rPr>
          <w:rFonts w:cs="Arial"/>
        </w:rPr>
        <w:t xml:space="preserve"> percent</w:t>
      </w:r>
      <w:r w:rsidRPr="00F000BE">
        <w:rPr>
          <w:rFonts w:cs="Arial"/>
        </w:rPr>
        <w:t xml:space="preserve"> of the maximum theoretical density.  By the end of the day’s operations, the Contractor shall furnish the test data developed during the day’s recycling to the Engineer.  The Contractor shall verify the results every lot by performing a field proctor (AASHTO T180, Method D).  The field proctor shall be at least 98</w:t>
      </w:r>
      <w:r w:rsidR="00D52587">
        <w:rPr>
          <w:rFonts w:cs="Arial"/>
        </w:rPr>
        <w:t xml:space="preserve"> percent</w:t>
      </w:r>
      <w:r w:rsidRPr="00F000BE">
        <w:rPr>
          <w:rFonts w:cs="Arial"/>
        </w:rPr>
        <w:t xml:space="preserve"> of the maximum theoretical density from the approved mix design.</w:t>
      </w:r>
    </w:p>
    <w:p w14:paraId="3DD69B48" w14:textId="77777777" w:rsidR="00B34354" w:rsidRPr="00F000BE" w:rsidRDefault="00B34354" w:rsidP="00F632F7">
      <w:pPr>
        <w:suppressAutoHyphens/>
        <w:ind w:left="1440"/>
        <w:jc w:val="both"/>
        <w:rPr>
          <w:rFonts w:cs="Arial"/>
          <w:spacing w:val="-3"/>
        </w:rPr>
      </w:pPr>
    </w:p>
    <w:p w14:paraId="6D0FF132" w14:textId="01B84E6C" w:rsidR="00B34354" w:rsidRDefault="00B34354" w:rsidP="00F632F7">
      <w:pPr>
        <w:suppressAutoHyphens/>
        <w:ind w:left="1440"/>
        <w:jc w:val="both"/>
        <w:rPr>
          <w:rFonts w:cs="Arial"/>
          <w:b/>
          <w:spacing w:val="-3"/>
        </w:rPr>
      </w:pPr>
      <w:r w:rsidRPr="00F000BE">
        <w:rPr>
          <w:rFonts w:cs="Arial"/>
          <w:spacing w:val="-3"/>
        </w:rPr>
        <w:t xml:space="preserve">The tonnage of each lot will be based on the lot’s width and length and the mixture thickness as designated in the Contract or as revised by the Engineer.  Payment will be made </w:t>
      </w:r>
      <w:r w:rsidR="006334FD">
        <w:rPr>
          <w:rFonts w:cs="Arial"/>
          <w:spacing w:val="-3"/>
        </w:rPr>
        <w:t>according to</w:t>
      </w:r>
      <w:r w:rsidRPr="00F000BE">
        <w:rPr>
          <w:rFonts w:cs="Arial"/>
          <w:spacing w:val="-3"/>
        </w:rPr>
        <w:t xml:space="preserve"> </w:t>
      </w:r>
      <w:r w:rsidRPr="00F000BE">
        <w:rPr>
          <w:rFonts w:cs="Arial"/>
          <w:b/>
          <w:spacing w:val="-3"/>
        </w:rPr>
        <w:t>TABLE 1.  Percent of payment will be calculated based on the Cold Central Plant Recycling Material (CCPRM).</w:t>
      </w:r>
    </w:p>
    <w:p w14:paraId="48BF18A0" w14:textId="77777777" w:rsidR="00036CD3" w:rsidRPr="00F000BE" w:rsidRDefault="00036CD3" w:rsidP="00F632F7">
      <w:pPr>
        <w:suppressAutoHyphens/>
        <w:ind w:left="1440"/>
        <w:jc w:val="both"/>
        <w:rPr>
          <w:rFonts w:cs="Arial"/>
          <w:spacing w:val="-3"/>
        </w:rPr>
      </w:pPr>
    </w:p>
    <w:tbl>
      <w:tblPr>
        <w:tblW w:w="7740" w:type="dxa"/>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3510"/>
      </w:tblGrid>
      <w:tr w:rsidR="00B34354" w:rsidRPr="00F000BE" w14:paraId="5A59ADB7" w14:textId="77777777" w:rsidTr="00F632F7">
        <w:tc>
          <w:tcPr>
            <w:tcW w:w="7740" w:type="dxa"/>
            <w:gridSpan w:val="2"/>
            <w:tcBorders>
              <w:top w:val="nil"/>
              <w:left w:val="nil"/>
              <w:bottom w:val="single" w:sz="4" w:space="0" w:color="auto"/>
              <w:right w:val="nil"/>
            </w:tcBorders>
            <w:vAlign w:val="center"/>
          </w:tcPr>
          <w:p w14:paraId="2E67ACB7" w14:textId="77777777" w:rsidR="00B34354" w:rsidRPr="00F000BE" w:rsidRDefault="00B34354" w:rsidP="00F632F7">
            <w:pPr>
              <w:suppressAutoHyphens/>
              <w:ind w:left="162"/>
              <w:jc w:val="center"/>
              <w:rPr>
                <w:rFonts w:cs="Arial"/>
                <w:b/>
                <w:spacing w:val="-3"/>
              </w:rPr>
            </w:pPr>
            <w:r w:rsidRPr="00F000BE">
              <w:rPr>
                <w:rFonts w:cs="Arial"/>
                <w:b/>
                <w:spacing w:val="-3"/>
              </w:rPr>
              <w:t>TABLE 1 - Payment Schedule for Lot Densities</w:t>
            </w:r>
          </w:p>
        </w:tc>
      </w:tr>
      <w:tr w:rsidR="00B34354" w:rsidRPr="00F000BE" w14:paraId="3059EF71" w14:textId="77777777" w:rsidTr="00F632F7">
        <w:tc>
          <w:tcPr>
            <w:tcW w:w="4230" w:type="dxa"/>
            <w:tcBorders>
              <w:top w:val="single" w:sz="4" w:space="0" w:color="auto"/>
              <w:left w:val="single" w:sz="4" w:space="0" w:color="auto"/>
              <w:bottom w:val="single" w:sz="4" w:space="0" w:color="auto"/>
              <w:right w:val="single" w:sz="4" w:space="0" w:color="auto"/>
            </w:tcBorders>
            <w:vAlign w:val="center"/>
          </w:tcPr>
          <w:p w14:paraId="3D6A1907" w14:textId="77777777" w:rsidR="00B34354" w:rsidRPr="00F000BE" w:rsidRDefault="00B34354" w:rsidP="000402AE">
            <w:pPr>
              <w:suppressAutoHyphens/>
              <w:ind w:left="162"/>
              <w:jc w:val="center"/>
              <w:rPr>
                <w:rFonts w:cs="Arial"/>
                <w:b/>
                <w:spacing w:val="-3"/>
              </w:rPr>
            </w:pPr>
            <w:r w:rsidRPr="00F000BE">
              <w:rPr>
                <w:rFonts w:cs="Arial"/>
                <w:b/>
                <w:spacing w:val="-3"/>
              </w:rPr>
              <w:t>% of Target Control Strip Density</w:t>
            </w:r>
          </w:p>
        </w:tc>
        <w:tc>
          <w:tcPr>
            <w:tcW w:w="3510" w:type="dxa"/>
            <w:tcBorders>
              <w:top w:val="single" w:sz="4" w:space="0" w:color="auto"/>
              <w:left w:val="single" w:sz="4" w:space="0" w:color="auto"/>
              <w:bottom w:val="single" w:sz="4" w:space="0" w:color="auto"/>
              <w:right w:val="single" w:sz="4" w:space="0" w:color="auto"/>
            </w:tcBorders>
            <w:vAlign w:val="center"/>
          </w:tcPr>
          <w:p w14:paraId="2A4EE953" w14:textId="77777777" w:rsidR="00B34354" w:rsidRPr="00F000BE" w:rsidRDefault="00B34354" w:rsidP="000402AE">
            <w:pPr>
              <w:suppressAutoHyphens/>
              <w:ind w:left="162"/>
              <w:jc w:val="center"/>
              <w:rPr>
                <w:rFonts w:cs="Arial"/>
                <w:b/>
                <w:spacing w:val="-3"/>
              </w:rPr>
            </w:pPr>
            <w:r w:rsidRPr="00F000BE">
              <w:rPr>
                <w:rFonts w:cs="Arial"/>
                <w:b/>
                <w:spacing w:val="-3"/>
              </w:rPr>
              <w:t>% of Payment</w:t>
            </w:r>
          </w:p>
        </w:tc>
      </w:tr>
      <w:tr w:rsidR="00B34354" w:rsidRPr="00F000BE" w14:paraId="01C937C8" w14:textId="77777777" w:rsidTr="00F632F7">
        <w:tc>
          <w:tcPr>
            <w:tcW w:w="4230" w:type="dxa"/>
            <w:tcBorders>
              <w:top w:val="single" w:sz="4" w:space="0" w:color="auto"/>
              <w:left w:val="single" w:sz="4" w:space="0" w:color="auto"/>
              <w:bottom w:val="single" w:sz="4" w:space="0" w:color="auto"/>
              <w:right w:val="single" w:sz="4" w:space="0" w:color="auto"/>
            </w:tcBorders>
          </w:tcPr>
          <w:p w14:paraId="0543972C" w14:textId="77777777" w:rsidR="00B34354" w:rsidRPr="00F000BE" w:rsidRDefault="00B34354" w:rsidP="000402AE">
            <w:pPr>
              <w:suppressAutoHyphens/>
              <w:ind w:left="162"/>
              <w:jc w:val="center"/>
              <w:rPr>
                <w:rFonts w:cs="Arial"/>
                <w:spacing w:val="-3"/>
              </w:rPr>
            </w:pPr>
            <w:r w:rsidRPr="00F000BE">
              <w:rPr>
                <w:rFonts w:cs="Arial"/>
                <w:spacing w:val="-3"/>
              </w:rPr>
              <w:t>98.0 or greater</w:t>
            </w:r>
          </w:p>
        </w:tc>
        <w:tc>
          <w:tcPr>
            <w:tcW w:w="3510" w:type="dxa"/>
            <w:tcBorders>
              <w:top w:val="single" w:sz="4" w:space="0" w:color="auto"/>
              <w:left w:val="single" w:sz="4" w:space="0" w:color="auto"/>
              <w:bottom w:val="single" w:sz="4" w:space="0" w:color="auto"/>
              <w:right w:val="single" w:sz="4" w:space="0" w:color="auto"/>
            </w:tcBorders>
          </w:tcPr>
          <w:p w14:paraId="0D0B33A7" w14:textId="77777777" w:rsidR="00B34354" w:rsidRPr="00F000BE" w:rsidRDefault="00B34354" w:rsidP="000402AE">
            <w:pPr>
              <w:suppressAutoHyphens/>
              <w:ind w:left="162"/>
              <w:jc w:val="center"/>
              <w:rPr>
                <w:rFonts w:cs="Arial"/>
                <w:spacing w:val="-3"/>
              </w:rPr>
            </w:pPr>
            <w:r w:rsidRPr="00F000BE">
              <w:rPr>
                <w:rFonts w:cs="Arial"/>
                <w:spacing w:val="-3"/>
              </w:rPr>
              <w:t>100</w:t>
            </w:r>
          </w:p>
        </w:tc>
      </w:tr>
      <w:tr w:rsidR="00B34354" w:rsidRPr="00F000BE" w14:paraId="6B3C56FA" w14:textId="77777777" w:rsidTr="00F632F7">
        <w:tc>
          <w:tcPr>
            <w:tcW w:w="4230" w:type="dxa"/>
            <w:tcBorders>
              <w:top w:val="single" w:sz="4" w:space="0" w:color="auto"/>
              <w:left w:val="single" w:sz="4" w:space="0" w:color="auto"/>
              <w:bottom w:val="single" w:sz="4" w:space="0" w:color="auto"/>
              <w:right w:val="single" w:sz="4" w:space="0" w:color="auto"/>
            </w:tcBorders>
          </w:tcPr>
          <w:p w14:paraId="1F6DAA48" w14:textId="77777777" w:rsidR="00B34354" w:rsidRPr="00F000BE" w:rsidRDefault="00B34354" w:rsidP="000402AE">
            <w:pPr>
              <w:suppressAutoHyphens/>
              <w:ind w:left="162"/>
              <w:jc w:val="center"/>
              <w:rPr>
                <w:rFonts w:cs="Arial"/>
                <w:spacing w:val="-3"/>
              </w:rPr>
            </w:pPr>
            <w:r w:rsidRPr="00F000BE">
              <w:rPr>
                <w:rFonts w:cs="Arial"/>
                <w:spacing w:val="-3"/>
              </w:rPr>
              <w:t>97.0 to less than 98.0</w:t>
            </w:r>
          </w:p>
        </w:tc>
        <w:tc>
          <w:tcPr>
            <w:tcW w:w="3510" w:type="dxa"/>
            <w:tcBorders>
              <w:top w:val="single" w:sz="4" w:space="0" w:color="auto"/>
              <w:left w:val="single" w:sz="4" w:space="0" w:color="auto"/>
              <w:bottom w:val="single" w:sz="4" w:space="0" w:color="auto"/>
              <w:right w:val="single" w:sz="4" w:space="0" w:color="auto"/>
            </w:tcBorders>
          </w:tcPr>
          <w:p w14:paraId="4D2A4F98" w14:textId="77777777" w:rsidR="00B34354" w:rsidRPr="00F000BE" w:rsidRDefault="00B34354" w:rsidP="000402AE">
            <w:pPr>
              <w:suppressAutoHyphens/>
              <w:ind w:left="162"/>
              <w:jc w:val="center"/>
              <w:rPr>
                <w:rFonts w:cs="Arial"/>
                <w:spacing w:val="-3"/>
              </w:rPr>
            </w:pPr>
            <w:r w:rsidRPr="00F000BE">
              <w:rPr>
                <w:rFonts w:cs="Arial"/>
                <w:spacing w:val="-3"/>
              </w:rPr>
              <w:t>95</w:t>
            </w:r>
          </w:p>
        </w:tc>
      </w:tr>
      <w:tr w:rsidR="00B34354" w:rsidRPr="00F000BE" w14:paraId="0D06AFAD" w14:textId="77777777" w:rsidTr="00F632F7">
        <w:tc>
          <w:tcPr>
            <w:tcW w:w="4230" w:type="dxa"/>
            <w:tcBorders>
              <w:top w:val="single" w:sz="4" w:space="0" w:color="auto"/>
              <w:left w:val="single" w:sz="4" w:space="0" w:color="auto"/>
              <w:bottom w:val="single" w:sz="4" w:space="0" w:color="auto"/>
              <w:right w:val="single" w:sz="4" w:space="0" w:color="auto"/>
            </w:tcBorders>
          </w:tcPr>
          <w:p w14:paraId="04E1B015" w14:textId="77777777" w:rsidR="00B34354" w:rsidRPr="00F000BE" w:rsidRDefault="00B34354" w:rsidP="000402AE">
            <w:pPr>
              <w:suppressAutoHyphens/>
              <w:ind w:left="162"/>
              <w:jc w:val="center"/>
              <w:rPr>
                <w:rFonts w:cs="Arial"/>
                <w:spacing w:val="-3"/>
              </w:rPr>
            </w:pPr>
            <w:r w:rsidRPr="00F000BE">
              <w:rPr>
                <w:rFonts w:cs="Arial"/>
                <w:spacing w:val="-3"/>
              </w:rPr>
              <w:t>96.0 to less than 97.0</w:t>
            </w:r>
          </w:p>
        </w:tc>
        <w:tc>
          <w:tcPr>
            <w:tcW w:w="3510" w:type="dxa"/>
            <w:tcBorders>
              <w:top w:val="single" w:sz="4" w:space="0" w:color="auto"/>
              <w:left w:val="single" w:sz="4" w:space="0" w:color="auto"/>
              <w:bottom w:val="single" w:sz="4" w:space="0" w:color="auto"/>
              <w:right w:val="single" w:sz="4" w:space="0" w:color="auto"/>
            </w:tcBorders>
          </w:tcPr>
          <w:p w14:paraId="612CC176" w14:textId="77777777" w:rsidR="00B34354" w:rsidRPr="00F000BE" w:rsidRDefault="00B34354" w:rsidP="000402AE">
            <w:pPr>
              <w:suppressAutoHyphens/>
              <w:ind w:left="162"/>
              <w:jc w:val="center"/>
              <w:rPr>
                <w:rFonts w:cs="Arial"/>
                <w:spacing w:val="-3"/>
              </w:rPr>
            </w:pPr>
            <w:r w:rsidRPr="00F000BE">
              <w:rPr>
                <w:rFonts w:cs="Arial"/>
                <w:spacing w:val="-3"/>
              </w:rPr>
              <w:t>90</w:t>
            </w:r>
          </w:p>
        </w:tc>
      </w:tr>
      <w:tr w:rsidR="00B34354" w:rsidRPr="00F000BE" w14:paraId="0F988B1B" w14:textId="77777777" w:rsidTr="00F632F7">
        <w:trPr>
          <w:trHeight w:val="263"/>
        </w:trPr>
        <w:tc>
          <w:tcPr>
            <w:tcW w:w="4230" w:type="dxa"/>
            <w:tcBorders>
              <w:top w:val="single" w:sz="4" w:space="0" w:color="auto"/>
              <w:left w:val="single" w:sz="4" w:space="0" w:color="auto"/>
              <w:bottom w:val="single" w:sz="4" w:space="0" w:color="auto"/>
              <w:right w:val="single" w:sz="4" w:space="0" w:color="auto"/>
            </w:tcBorders>
          </w:tcPr>
          <w:p w14:paraId="548E3139" w14:textId="77777777" w:rsidR="00B34354" w:rsidRPr="00F000BE" w:rsidRDefault="00B34354" w:rsidP="000402AE">
            <w:pPr>
              <w:suppressAutoHyphens/>
              <w:ind w:left="162"/>
              <w:jc w:val="center"/>
              <w:rPr>
                <w:rFonts w:cs="Arial"/>
                <w:spacing w:val="-3"/>
              </w:rPr>
            </w:pPr>
            <w:r w:rsidRPr="00F000BE">
              <w:rPr>
                <w:rFonts w:cs="Arial"/>
                <w:spacing w:val="-3"/>
              </w:rPr>
              <w:t>Less than 96.0</w:t>
            </w:r>
          </w:p>
        </w:tc>
        <w:tc>
          <w:tcPr>
            <w:tcW w:w="3510" w:type="dxa"/>
            <w:tcBorders>
              <w:top w:val="single" w:sz="4" w:space="0" w:color="auto"/>
              <w:left w:val="single" w:sz="4" w:space="0" w:color="auto"/>
              <w:bottom w:val="single" w:sz="4" w:space="0" w:color="auto"/>
              <w:right w:val="single" w:sz="4" w:space="0" w:color="auto"/>
            </w:tcBorders>
          </w:tcPr>
          <w:p w14:paraId="6E034C71" w14:textId="77777777" w:rsidR="00B34354" w:rsidRPr="00F000BE" w:rsidRDefault="00B34354" w:rsidP="000402AE">
            <w:pPr>
              <w:suppressAutoHyphens/>
              <w:ind w:left="162"/>
              <w:jc w:val="center"/>
              <w:rPr>
                <w:rFonts w:cs="Arial"/>
                <w:spacing w:val="-3"/>
              </w:rPr>
            </w:pPr>
            <w:r w:rsidRPr="00F000BE">
              <w:rPr>
                <w:rFonts w:cs="Arial"/>
                <w:spacing w:val="-3"/>
              </w:rPr>
              <w:t>75</w:t>
            </w:r>
          </w:p>
        </w:tc>
      </w:tr>
    </w:tbl>
    <w:p w14:paraId="015DEC01" w14:textId="77777777" w:rsidR="00B34354" w:rsidRPr="00F000BE" w:rsidRDefault="00B34354" w:rsidP="00F632F7">
      <w:pPr>
        <w:autoSpaceDE w:val="0"/>
        <w:autoSpaceDN w:val="0"/>
        <w:adjustRightInd w:val="0"/>
        <w:ind w:left="720"/>
        <w:jc w:val="both"/>
        <w:rPr>
          <w:rFonts w:cs="Arial"/>
          <w:b/>
        </w:rPr>
      </w:pPr>
    </w:p>
    <w:p w14:paraId="0B33855C" w14:textId="4F3ECECA" w:rsidR="00B34354" w:rsidRPr="00F000BE" w:rsidRDefault="00B34354" w:rsidP="00F632F7">
      <w:pPr>
        <w:pStyle w:val="ListParagraph"/>
        <w:autoSpaceDE w:val="0"/>
        <w:autoSpaceDN w:val="0"/>
        <w:adjustRightInd w:val="0"/>
        <w:ind w:left="1440" w:hanging="720"/>
        <w:jc w:val="both"/>
        <w:rPr>
          <w:rFonts w:cs="Arial"/>
          <w:szCs w:val="20"/>
        </w:rPr>
      </w:pPr>
      <w:r w:rsidRPr="00F000BE">
        <w:rPr>
          <w:rFonts w:cs="Arial"/>
          <w:szCs w:val="20"/>
        </w:rPr>
        <w:t>2.</w:t>
      </w:r>
      <w:r w:rsidRPr="00F000BE">
        <w:rPr>
          <w:rFonts w:cs="Arial"/>
          <w:szCs w:val="20"/>
        </w:rPr>
        <w:tab/>
      </w:r>
      <w:r w:rsidRPr="00F000BE">
        <w:rPr>
          <w:rFonts w:cs="Arial"/>
          <w:b/>
          <w:szCs w:val="20"/>
        </w:rPr>
        <w:t xml:space="preserve">Depth Check </w:t>
      </w:r>
      <w:r w:rsidRPr="00F000BE">
        <w:rPr>
          <w:rFonts w:cs="Arial"/>
          <w:szCs w:val="20"/>
        </w:rPr>
        <w:t>–</w:t>
      </w:r>
      <w:r w:rsidRPr="00F000BE">
        <w:rPr>
          <w:rFonts w:cs="Arial"/>
          <w:b/>
          <w:szCs w:val="20"/>
        </w:rPr>
        <w:t xml:space="preserve"> </w:t>
      </w:r>
      <w:r w:rsidRPr="00F000BE">
        <w:rPr>
          <w:rFonts w:cs="Arial"/>
          <w:szCs w:val="20"/>
        </w:rPr>
        <w:t xml:space="preserve">Depth checks shall be performed by the Contractor at a rate of twice per 5,000 linear feet after compaction </w:t>
      </w:r>
      <w:r w:rsidR="006334FD">
        <w:rPr>
          <w:rFonts w:cs="Arial"/>
          <w:szCs w:val="20"/>
        </w:rPr>
        <w:t>according to</w:t>
      </w:r>
      <w:r w:rsidRPr="00F000BE">
        <w:rPr>
          <w:rFonts w:cs="Arial"/>
          <w:szCs w:val="20"/>
        </w:rPr>
        <w:t xml:space="preserve"> VTM-38, Method B.  Depth checks shall be taken at the Engineer’s direction.  In the event that a slit trench cannot be created </w:t>
      </w:r>
      <w:r w:rsidR="006334FD">
        <w:rPr>
          <w:rFonts w:cs="Arial"/>
          <w:szCs w:val="20"/>
        </w:rPr>
        <w:t>according to</w:t>
      </w:r>
      <w:r w:rsidRPr="00F000BE">
        <w:rPr>
          <w:rFonts w:cs="Arial"/>
          <w:szCs w:val="20"/>
        </w:rPr>
        <w:t xml:space="preserve"> VTM-38, Method B, the contractor may remove the CCPRM by use of a core rig and depth measurements tak</w:t>
      </w:r>
      <w:r w:rsidR="00723272">
        <w:rPr>
          <w:rFonts w:cs="Arial"/>
          <w:szCs w:val="20"/>
        </w:rPr>
        <w:t xml:space="preserve">en </w:t>
      </w:r>
      <w:r w:rsidR="006334FD">
        <w:rPr>
          <w:rFonts w:cs="Arial"/>
          <w:szCs w:val="20"/>
        </w:rPr>
        <w:t>according to</w:t>
      </w:r>
      <w:r w:rsidR="00723272">
        <w:rPr>
          <w:rFonts w:cs="Arial"/>
          <w:szCs w:val="20"/>
        </w:rPr>
        <w:t xml:space="preserve"> VTM-38B.</w:t>
      </w:r>
    </w:p>
    <w:p w14:paraId="528FC73B" w14:textId="77777777" w:rsidR="00B34354" w:rsidRPr="00F000BE" w:rsidRDefault="00B34354" w:rsidP="00F632F7">
      <w:pPr>
        <w:pStyle w:val="ListParagraph"/>
        <w:ind w:left="1440"/>
        <w:jc w:val="both"/>
        <w:rPr>
          <w:rFonts w:cs="Arial"/>
          <w:szCs w:val="20"/>
        </w:rPr>
      </w:pPr>
    </w:p>
    <w:p w14:paraId="70DAF93C" w14:textId="6541A647" w:rsidR="00B34354" w:rsidRPr="00F000BE" w:rsidRDefault="00B34354" w:rsidP="00F632F7">
      <w:pPr>
        <w:pStyle w:val="ListParagraph"/>
        <w:autoSpaceDE w:val="0"/>
        <w:autoSpaceDN w:val="0"/>
        <w:adjustRightInd w:val="0"/>
        <w:ind w:left="1440"/>
        <w:jc w:val="both"/>
        <w:rPr>
          <w:rFonts w:cs="Arial"/>
          <w:szCs w:val="20"/>
        </w:rPr>
      </w:pPr>
      <w:r w:rsidRPr="00F000BE">
        <w:rPr>
          <w:rFonts w:cs="Arial"/>
          <w:szCs w:val="20"/>
        </w:rPr>
        <w:t>Acceptance of CCPRM course for depth will be based on the mean result of measurements of samples taken fr</w:t>
      </w:r>
      <w:r w:rsidR="00723272">
        <w:rPr>
          <w:rFonts w:cs="Arial"/>
          <w:szCs w:val="20"/>
        </w:rPr>
        <w:t>om each lot of material placed.</w:t>
      </w:r>
    </w:p>
    <w:p w14:paraId="1B987061" w14:textId="77777777" w:rsidR="00B34354" w:rsidRPr="00F000BE" w:rsidRDefault="00B34354" w:rsidP="00F632F7">
      <w:pPr>
        <w:pStyle w:val="ListParagraph"/>
        <w:autoSpaceDE w:val="0"/>
        <w:autoSpaceDN w:val="0"/>
        <w:adjustRightInd w:val="0"/>
        <w:ind w:left="1440"/>
        <w:jc w:val="both"/>
        <w:rPr>
          <w:rFonts w:cs="Arial"/>
          <w:szCs w:val="20"/>
        </w:rPr>
      </w:pPr>
    </w:p>
    <w:p w14:paraId="421BFD33" w14:textId="77777777" w:rsidR="00B34354" w:rsidRPr="00F000BE" w:rsidRDefault="00B34354" w:rsidP="00F632F7">
      <w:pPr>
        <w:pStyle w:val="ListParagraph"/>
        <w:autoSpaceDE w:val="0"/>
        <w:autoSpaceDN w:val="0"/>
        <w:adjustRightInd w:val="0"/>
        <w:ind w:left="1440"/>
        <w:jc w:val="both"/>
        <w:rPr>
          <w:rFonts w:cs="Arial"/>
          <w:szCs w:val="20"/>
        </w:rPr>
      </w:pPr>
      <w:r w:rsidRPr="00F000BE">
        <w:rPr>
          <w:rFonts w:cs="Arial"/>
          <w:szCs w:val="20"/>
        </w:rPr>
        <w:lastRenderedPageBreak/>
        <w:t xml:space="preserve">A lot will be considered acceptable for depth if the mean result of the tests is within the tolerance of the plan depth for the number of tests taken as shown in </w:t>
      </w:r>
      <w:r w:rsidRPr="00F000BE">
        <w:rPr>
          <w:rFonts w:cs="Arial"/>
          <w:b/>
          <w:szCs w:val="20"/>
        </w:rPr>
        <w:t>TABLE 2</w:t>
      </w:r>
      <w:r w:rsidRPr="00F000BE">
        <w:rPr>
          <w:rFonts w:cs="Arial"/>
          <w:szCs w:val="20"/>
        </w:rPr>
        <w:t>.</w:t>
      </w:r>
    </w:p>
    <w:p w14:paraId="46CD5DB3" w14:textId="77777777" w:rsidR="00B34354" w:rsidRPr="00F000BE" w:rsidRDefault="00B34354" w:rsidP="00036CD3">
      <w:pPr>
        <w:autoSpaceDE w:val="0"/>
        <w:autoSpaceDN w:val="0"/>
        <w:adjustRightInd w:val="0"/>
        <w:jc w:val="center"/>
        <w:rPr>
          <w:rFonts w:cs="Arial"/>
          <w:b/>
        </w:rPr>
      </w:pPr>
    </w:p>
    <w:tbl>
      <w:tblPr>
        <w:tblW w:w="7740" w:type="dxa"/>
        <w:tblInd w:w="1530" w:type="dxa"/>
        <w:tblCellMar>
          <w:left w:w="0" w:type="dxa"/>
          <w:right w:w="0" w:type="dxa"/>
        </w:tblCellMar>
        <w:tblLook w:val="04A0" w:firstRow="1" w:lastRow="0" w:firstColumn="1" w:lastColumn="0" w:noHBand="0" w:noVBand="1"/>
      </w:tblPr>
      <w:tblGrid>
        <w:gridCol w:w="2340"/>
        <w:gridCol w:w="1465"/>
        <w:gridCol w:w="1685"/>
        <w:gridCol w:w="2250"/>
      </w:tblGrid>
      <w:tr w:rsidR="00F632F7" w:rsidRPr="00F000BE" w14:paraId="108DC5CE" w14:textId="77777777" w:rsidTr="00F632F7">
        <w:trPr>
          <w:trHeight w:val="255"/>
        </w:trPr>
        <w:tc>
          <w:tcPr>
            <w:tcW w:w="7740" w:type="dxa"/>
            <w:gridSpan w:val="4"/>
            <w:vAlign w:val="center"/>
          </w:tcPr>
          <w:p w14:paraId="0DF87ADA" w14:textId="2E241F81" w:rsidR="00F632F7" w:rsidRPr="00F000BE" w:rsidRDefault="00F632F7" w:rsidP="000402AE">
            <w:pPr>
              <w:jc w:val="center"/>
              <w:rPr>
                <w:rFonts w:cs="Arial"/>
                <w:b/>
              </w:rPr>
            </w:pPr>
            <w:r w:rsidRPr="00F000BE">
              <w:rPr>
                <w:rFonts w:cs="Arial"/>
                <w:b/>
              </w:rPr>
              <w:t>TABLE 2 – PROCESS TOLERANCE FOR DEPTH CHECKS</w:t>
            </w:r>
          </w:p>
        </w:tc>
      </w:tr>
      <w:tr w:rsidR="00B34354" w:rsidRPr="00F000BE" w14:paraId="7E861663" w14:textId="77777777" w:rsidTr="00F632F7">
        <w:trPr>
          <w:trHeight w:val="255"/>
        </w:trPr>
        <w:tc>
          <w:tcPr>
            <w:tcW w:w="2340" w:type="dxa"/>
            <w:vMerge w:val="restart"/>
            <w:tcBorders>
              <w:top w:val="single" w:sz="4" w:space="0" w:color="auto"/>
              <w:left w:val="single" w:sz="4" w:space="0" w:color="auto"/>
              <w:right w:val="single" w:sz="4" w:space="0" w:color="auto"/>
            </w:tcBorders>
            <w:vAlign w:val="center"/>
            <w:hideMark/>
          </w:tcPr>
          <w:p w14:paraId="264FFDEB" w14:textId="77777777" w:rsidR="00B34354" w:rsidRPr="00F000BE" w:rsidRDefault="00B34354" w:rsidP="000402AE">
            <w:pPr>
              <w:ind w:left="200"/>
              <w:jc w:val="both"/>
              <w:rPr>
                <w:rFonts w:cs="Arial"/>
                <w:b/>
              </w:rPr>
            </w:pPr>
            <w:r w:rsidRPr="00F000BE">
              <w:rPr>
                <w:rFonts w:cs="Arial"/>
                <w:b/>
              </w:rPr>
              <w:t>Plan Depth, inches</w:t>
            </w:r>
          </w:p>
        </w:tc>
        <w:tc>
          <w:tcPr>
            <w:tcW w:w="5400" w:type="dxa"/>
            <w:gridSpan w:val="3"/>
            <w:tcBorders>
              <w:top w:val="single" w:sz="4" w:space="0" w:color="auto"/>
              <w:left w:val="nil"/>
              <w:bottom w:val="single" w:sz="4" w:space="0" w:color="auto"/>
              <w:right w:val="single" w:sz="4" w:space="0" w:color="auto"/>
            </w:tcBorders>
            <w:vAlign w:val="center"/>
          </w:tcPr>
          <w:p w14:paraId="65CCD7F7" w14:textId="77777777" w:rsidR="00B34354" w:rsidRPr="00F000BE" w:rsidRDefault="00B34354" w:rsidP="000402AE">
            <w:pPr>
              <w:jc w:val="center"/>
              <w:rPr>
                <w:rFonts w:cs="Arial"/>
                <w:b/>
              </w:rPr>
            </w:pPr>
            <w:r w:rsidRPr="00F000BE">
              <w:rPr>
                <w:rFonts w:cs="Arial"/>
                <w:b/>
              </w:rPr>
              <w:t>Tolerance, inches (Plus or Minus)</w:t>
            </w:r>
          </w:p>
        </w:tc>
      </w:tr>
      <w:tr w:rsidR="00B34354" w:rsidRPr="00F000BE" w14:paraId="646CBAD2" w14:textId="77777777" w:rsidTr="00F632F7">
        <w:trPr>
          <w:trHeight w:val="255"/>
        </w:trPr>
        <w:tc>
          <w:tcPr>
            <w:tcW w:w="2340" w:type="dxa"/>
            <w:vMerge/>
            <w:tcBorders>
              <w:left w:val="single" w:sz="4" w:space="0" w:color="auto"/>
              <w:bottom w:val="single" w:sz="4" w:space="0" w:color="auto"/>
              <w:right w:val="single" w:sz="4" w:space="0" w:color="auto"/>
            </w:tcBorders>
            <w:vAlign w:val="center"/>
            <w:hideMark/>
          </w:tcPr>
          <w:p w14:paraId="7915D73C" w14:textId="77777777" w:rsidR="00B34354" w:rsidRPr="00F000BE" w:rsidRDefault="00B34354" w:rsidP="000402AE">
            <w:pPr>
              <w:jc w:val="both"/>
              <w:rPr>
                <w:rFonts w:cs="Arial"/>
                <w:b/>
              </w:rPr>
            </w:pPr>
          </w:p>
        </w:tc>
        <w:tc>
          <w:tcPr>
            <w:tcW w:w="1465" w:type="dxa"/>
            <w:tcBorders>
              <w:top w:val="single" w:sz="4" w:space="0" w:color="auto"/>
              <w:left w:val="nil"/>
              <w:bottom w:val="single" w:sz="4" w:space="0" w:color="auto"/>
              <w:right w:val="single" w:sz="4" w:space="0" w:color="auto"/>
            </w:tcBorders>
            <w:vAlign w:val="center"/>
            <w:hideMark/>
          </w:tcPr>
          <w:p w14:paraId="55EF21FD" w14:textId="77777777" w:rsidR="00B34354" w:rsidRPr="00F000BE" w:rsidRDefault="00B34354" w:rsidP="000402AE">
            <w:pPr>
              <w:jc w:val="center"/>
              <w:rPr>
                <w:rFonts w:cs="Arial"/>
                <w:b/>
              </w:rPr>
            </w:pPr>
            <w:r w:rsidRPr="00F000BE">
              <w:rPr>
                <w:rFonts w:cs="Arial"/>
                <w:b/>
              </w:rPr>
              <w:t>2 tests</w:t>
            </w:r>
          </w:p>
        </w:tc>
        <w:tc>
          <w:tcPr>
            <w:tcW w:w="1685" w:type="dxa"/>
            <w:tcBorders>
              <w:top w:val="single" w:sz="4" w:space="0" w:color="auto"/>
              <w:left w:val="nil"/>
              <w:bottom w:val="single" w:sz="4" w:space="0" w:color="auto"/>
              <w:right w:val="single" w:sz="4" w:space="0" w:color="auto"/>
            </w:tcBorders>
            <w:vAlign w:val="center"/>
            <w:hideMark/>
          </w:tcPr>
          <w:p w14:paraId="51F7D73A" w14:textId="77777777" w:rsidR="00B34354" w:rsidRPr="00F000BE" w:rsidRDefault="00B34354" w:rsidP="000402AE">
            <w:pPr>
              <w:jc w:val="center"/>
              <w:rPr>
                <w:rFonts w:cs="Arial"/>
                <w:b/>
              </w:rPr>
            </w:pPr>
            <w:r w:rsidRPr="00F000BE">
              <w:rPr>
                <w:rFonts w:cs="Arial"/>
                <w:b/>
              </w:rPr>
              <w:t>3 tests</w:t>
            </w:r>
          </w:p>
        </w:tc>
        <w:tc>
          <w:tcPr>
            <w:tcW w:w="2250" w:type="dxa"/>
            <w:tcBorders>
              <w:top w:val="single" w:sz="4" w:space="0" w:color="auto"/>
              <w:left w:val="nil"/>
              <w:bottom w:val="single" w:sz="4" w:space="0" w:color="auto"/>
              <w:right w:val="single" w:sz="4" w:space="0" w:color="auto"/>
            </w:tcBorders>
            <w:vAlign w:val="center"/>
            <w:hideMark/>
          </w:tcPr>
          <w:p w14:paraId="2C08B0A0" w14:textId="77777777" w:rsidR="00B34354" w:rsidRPr="00F000BE" w:rsidRDefault="00B34354" w:rsidP="000402AE">
            <w:pPr>
              <w:jc w:val="center"/>
              <w:rPr>
                <w:rFonts w:cs="Arial"/>
                <w:b/>
              </w:rPr>
            </w:pPr>
            <w:r w:rsidRPr="00F000BE">
              <w:rPr>
                <w:rFonts w:cs="Arial"/>
                <w:b/>
              </w:rPr>
              <w:t>4 tests</w:t>
            </w:r>
          </w:p>
        </w:tc>
      </w:tr>
      <w:tr w:rsidR="00B34354" w:rsidRPr="00F000BE" w14:paraId="1E1CE217" w14:textId="77777777" w:rsidTr="00F632F7">
        <w:trPr>
          <w:trHeight w:val="255"/>
        </w:trPr>
        <w:tc>
          <w:tcPr>
            <w:tcW w:w="2340" w:type="dxa"/>
            <w:tcBorders>
              <w:top w:val="nil"/>
              <w:left w:val="single" w:sz="4" w:space="0" w:color="auto"/>
              <w:bottom w:val="single" w:sz="4" w:space="0" w:color="auto"/>
              <w:right w:val="single" w:sz="4" w:space="0" w:color="auto"/>
            </w:tcBorders>
            <w:vAlign w:val="center"/>
            <w:hideMark/>
          </w:tcPr>
          <w:p w14:paraId="3A47FC2E" w14:textId="77777777" w:rsidR="00B34354" w:rsidRPr="00F000BE" w:rsidRDefault="00B34354" w:rsidP="000402AE">
            <w:pPr>
              <w:ind w:left="200"/>
              <w:jc w:val="both"/>
              <w:rPr>
                <w:rFonts w:cs="Arial"/>
              </w:rPr>
            </w:pPr>
            <w:r w:rsidRPr="00F000BE">
              <w:rPr>
                <w:rFonts w:cs="Arial"/>
              </w:rPr>
              <w:t>≤ 4</w:t>
            </w:r>
          </w:p>
        </w:tc>
        <w:tc>
          <w:tcPr>
            <w:tcW w:w="1465" w:type="dxa"/>
            <w:tcBorders>
              <w:top w:val="nil"/>
              <w:left w:val="nil"/>
              <w:bottom w:val="single" w:sz="4" w:space="0" w:color="auto"/>
              <w:right w:val="single" w:sz="4" w:space="0" w:color="auto"/>
            </w:tcBorders>
            <w:vAlign w:val="center"/>
            <w:hideMark/>
          </w:tcPr>
          <w:p w14:paraId="76A24E25" w14:textId="77777777" w:rsidR="00B34354" w:rsidRPr="00F000BE" w:rsidRDefault="00B34354" w:rsidP="000402AE">
            <w:pPr>
              <w:jc w:val="center"/>
              <w:rPr>
                <w:rFonts w:cs="Arial"/>
              </w:rPr>
            </w:pPr>
            <w:r w:rsidRPr="00F000BE">
              <w:rPr>
                <w:rFonts w:cs="Arial"/>
              </w:rPr>
              <w:t>0.45</w:t>
            </w:r>
          </w:p>
        </w:tc>
        <w:tc>
          <w:tcPr>
            <w:tcW w:w="1685" w:type="dxa"/>
            <w:tcBorders>
              <w:top w:val="nil"/>
              <w:left w:val="nil"/>
              <w:bottom w:val="single" w:sz="4" w:space="0" w:color="auto"/>
              <w:right w:val="single" w:sz="4" w:space="0" w:color="auto"/>
            </w:tcBorders>
            <w:vAlign w:val="center"/>
            <w:hideMark/>
          </w:tcPr>
          <w:p w14:paraId="4B9CCEB0" w14:textId="77777777" w:rsidR="00B34354" w:rsidRPr="00F000BE" w:rsidRDefault="00B34354" w:rsidP="000402AE">
            <w:pPr>
              <w:jc w:val="center"/>
              <w:rPr>
                <w:rFonts w:cs="Arial"/>
              </w:rPr>
            </w:pPr>
            <w:r w:rsidRPr="00F000BE">
              <w:rPr>
                <w:rFonts w:cs="Arial"/>
              </w:rPr>
              <w:t>0.35</w:t>
            </w:r>
          </w:p>
        </w:tc>
        <w:tc>
          <w:tcPr>
            <w:tcW w:w="2250" w:type="dxa"/>
            <w:tcBorders>
              <w:top w:val="nil"/>
              <w:left w:val="nil"/>
              <w:bottom w:val="single" w:sz="4" w:space="0" w:color="auto"/>
              <w:right w:val="single" w:sz="4" w:space="0" w:color="auto"/>
            </w:tcBorders>
            <w:vAlign w:val="center"/>
            <w:hideMark/>
          </w:tcPr>
          <w:p w14:paraId="59B20955" w14:textId="77777777" w:rsidR="00B34354" w:rsidRPr="00F000BE" w:rsidRDefault="00B34354" w:rsidP="000402AE">
            <w:pPr>
              <w:jc w:val="center"/>
              <w:rPr>
                <w:rFonts w:cs="Arial"/>
              </w:rPr>
            </w:pPr>
            <w:r w:rsidRPr="00F000BE">
              <w:rPr>
                <w:rFonts w:cs="Arial"/>
              </w:rPr>
              <w:t>0.30</w:t>
            </w:r>
          </w:p>
        </w:tc>
      </w:tr>
      <w:tr w:rsidR="00B34354" w:rsidRPr="00F000BE" w14:paraId="08759545" w14:textId="77777777" w:rsidTr="00F632F7">
        <w:trPr>
          <w:trHeight w:val="255"/>
        </w:trPr>
        <w:tc>
          <w:tcPr>
            <w:tcW w:w="2340" w:type="dxa"/>
            <w:tcBorders>
              <w:top w:val="nil"/>
              <w:left w:val="single" w:sz="4" w:space="0" w:color="auto"/>
              <w:bottom w:val="single" w:sz="4" w:space="0" w:color="auto"/>
              <w:right w:val="single" w:sz="4" w:space="0" w:color="auto"/>
            </w:tcBorders>
            <w:vAlign w:val="center"/>
            <w:hideMark/>
          </w:tcPr>
          <w:p w14:paraId="551A4886" w14:textId="77777777" w:rsidR="00B34354" w:rsidRPr="00F000BE" w:rsidRDefault="00B34354" w:rsidP="000402AE">
            <w:pPr>
              <w:ind w:left="200"/>
              <w:jc w:val="both"/>
              <w:rPr>
                <w:rFonts w:cs="Arial"/>
              </w:rPr>
            </w:pPr>
            <w:r w:rsidRPr="00F000BE">
              <w:rPr>
                <w:rFonts w:cs="Arial"/>
              </w:rPr>
              <w:t>&gt;4 ≤ 8</w:t>
            </w:r>
          </w:p>
        </w:tc>
        <w:tc>
          <w:tcPr>
            <w:tcW w:w="1465" w:type="dxa"/>
            <w:tcBorders>
              <w:top w:val="nil"/>
              <w:left w:val="nil"/>
              <w:bottom w:val="single" w:sz="4" w:space="0" w:color="auto"/>
              <w:right w:val="single" w:sz="4" w:space="0" w:color="auto"/>
            </w:tcBorders>
            <w:vAlign w:val="center"/>
            <w:hideMark/>
          </w:tcPr>
          <w:p w14:paraId="6C5D110C" w14:textId="77777777" w:rsidR="00B34354" w:rsidRPr="00F000BE" w:rsidRDefault="00B34354" w:rsidP="000402AE">
            <w:pPr>
              <w:jc w:val="center"/>
              <w:rPr>
                <w:rFonts w:cs="Arial"/>
              </w:rPr>
            </w:pPr>
            <w:r w:rsidRPr="00F000BE">
              <w:rPr>
                <w:rFonts w:cs="Arial"/>
              </w:rPr>
              <w:t>0.65</w:t>
            </w:r>
          </w:p>
        </w:tc>
        <w:tc>
          <w:tcPr>
            <w:tcW w:w="1685" w:type="dxa"/>
            <w:tcBorders>
              <w:top w:val="nil"/>
              <w:left w:val="nil"/>
              <w:bottom w:val="single" w:sz="4" w:space="0" w:color="auto"/>
              <w:right w:val="single" w:sz="4" w:space="0" w:color="auto"/>
            </w:tcBorders>
            <w:vAlign w:val="center"/>
            <w:hideMark/>
          </w:tcPr>
          <w:p w14:paraId="4963E76E" w14:textId="77777777" w:rsidR="00B34354" w:rsidRPr="00F000BE" w:rsidRDefault="00B34354" w:rsidP="000402AE">
            <w:pPr>
              <w:jc w:val="center"/>
              <w:rPr>
                <w:rFonts w:cs="Arial"/>
              </w:rPr>
            </w:pPr>
            <w:r w:rsidRPr="00F000BE">
              <w:rPr>
                <w:rFonts w:cs="Arial"/>
              </w:rPr>
              <w:t>0.50</w:t>
            </w:r>
          </w:p>
        </w:tc>
        <w:tc>
          <w:tcPr>
            <w:tcW w:w="2250" w:type="dxa"/>
            <w:tcBorders>
              <w:top w:val="nil"/>
              <w:left w:val="nil"/>
              <w:bottom w:val="single" w:sz="4" w:space="0" w:color="auto"/>
              <w:right w:val="single" w:sz="4" w:space="0" w:color="auto"/>
            </w:tcBorders>
            <w:vAlign w:val="center"/>
            <w:hideMark/>
          </w:tcPr>
          <w:p w14:paraId="18B23A5C" w14:textId="77777777" w:rsidR="00B34354" w:rsidRPr="00F000BE" w:rsidRDefault="00B34354" w:rsidP="000402AE">
            <w:pPr>
              <w:jc w:val="center"/>
              <w:rPr>
                <w:rFonts w:cs="Arial"/>
              </w:rPr>
            </w:pPr>
            <w:r w:rsidRPr="00F000BE">
              <w:rPr>
                <w:rFonts w:cs="Arial"/>
              </w:rPr>
              <w:t>0.40</w:t>
            </w:r>
          </w:p>
        </w:tc>
      </w:tr>
      <w:tr w:rsidR="00B34354" w:rsidRPr="00F000BE" w14:paraId="176D3EDB" w14:textId="77777777" w:rsidTr="00F632F7">
        <w:trPr>
          <w:trHeight w:val="255"/>
        </w:trPr>
        <w:tc>
          <w:tcPr>
            <w:tcW w:w="2340" w:type="dxa"/>
            <w:tcBorders>
              <w:top w:val="nil"/>
              <w:left w:val="single" w:sz="4" w:space="0" w:color="auto"/>
              <w:bottom w:val="single" w:sz="4" w:space="0" w:color="auto"/>
              <w:right w:val="single" w:sz="4" w:space="0" w:color="auto"/>
            </w:tcBorders>
            <w:vAlign w:val="center"/>
            <w:hideMark/>
          </w:tcPr>
          <w:p w14:paraId="21EC343C" w14:textId="77777777" w:rsidR="00B34354" w:rsidRPr="00F000BE" w:rsidRDefault="00B34354" w:rsidP="000402AE">
            <w:pPr>
              <w:ind w:left="200"/>
              <w:jc w:val="both"/>
              <w:rPr>
                <w:rFonts w:cs="Arial"/>
              </w:rPr>
            </w:pPr>
            <w:r w:rsidRPr="00F000BE">
              <w:rPr>
                <w:rFonts w:cs="Arial"/>
              </w:rPr>
              <w:t>&gt;8 ≤ 12</w:t>
            </w:r>
          </w:p>
        </w:tc>
        <w:tc>
          <w:tcPr>
            <w:tcW w:w="1465" w:type="dxa"/>
            <w:tcBorders>
              <w:top w:val="nil"/>
              <w:left w:val="nil"/>
              <w:bottom w:val="single" w:sz="4" w:space="0" w:color="auto"/>
              <w:right w:val="single" w:sz="4" w:space="0" w:color="auto"/>
            </w:tcBorders>
            <w:vAlign w:val="center"/>
            <w:hideMark/>
          </w:tcPr>
          <w:p w14:paraId="7D9CB62A" w14:textId="77777777" w:rsidR="00B34354" w:rsidRPr="00F000BE" w:rsidRDefault="00B34354" w:rsidP="000402AE">
            <w:pPr>
              <w:jc w:val="center"/>
              <w:rPr>
                <w:rFonts w:cs="Arial"/>
              </w:rPr>
            </w:pPr>
            <w:r w:rsidRPr="00F000BE">
              <w:rPr>
                <w:rFonts w:cs="Arial"/>
              </w:rPr>
              <w:t>0.90</w:t>
            </w:r>
          </w:p>
        </w:tc>
        <w:tc>
          <w:tcPr>
            <w:tcW w:w="1685" w:type="dxa"/>
            <w:tcBorders>
              <w:top w:val="nil"/>
              <w:left w:val="nil"/>
              <w:bottom w:val="single" w:sz="4" w:space="0" w:color="auto"/>
              <w:right w:val="single" w:sz="4" w:space="0" w:color="auto"/>
            </w:tcBorders>
            <w:vAlign w:val="center"/>
            <w:hideMark/>
          </w:tcPr>
          <w:p w14:paraId="00055755" w14:textId="77777777" w:rsidR="00B34354" w:rsidRPr="00F000BE" w:rsidRDefault="00B34354" w:rsidP="000402AE">
            <w:pPr>
              <w:jc w:val="center"/>
              <w:rPr>
                <w:rFonts w:cs="Arial"/>
              </w:rPr>
            </w:pPr>
            <w:r w:rsidRPr="00F000BE">
              <w:rPr>
                <w:rFonts w:cs="Arial"/>
              </w:rPr>
              <w:t>0.70</w:t>
            </w:r>
          </w:p>
        </w:tc>
        <w:tc>
          <w:tcPr>
            <w:tcW w:w="2250" w:type="dxa"/>
            <w:tcBorders>
              <w:top w:val="nil"/>
              <w:left w:val="nil"/>
              <w:bottom w:val="single" w:sz="4" w:space="0" w:color="auto"/>
              <w:right w:val="single" w:sz="4" w:space="0" w:color="auto"/>
            </w:tcBorders>
            <w:vAlign w:val="center"/>
            <w:hideMark/>
          </w:tcPr>
          <w:p w14:paraId="67F404E9" w14:textId="77777777" w:rsidR="00B34354" w:rsidRPr="00F000BE" w:rsidRDefault="00B34354" w:rsidP="000402AE">
            <w:pPr>
              <w:jc w:val="center"/>
              <w:rPr>
                <w:rFonts w:cs="Arial"/>
              </w:rPr>
            </w:pPr>
            <w:r w:rsidRPr="00F000BE">
              <w:rPr>
                <w:rFonts w:cs="Arial"/>
              </w:rPr>
              <w:t>0.50</w:t>
            </w:r>
          </w:p>
        </w:tc>
      </w:tr>
      <w:tr w:rsidR="00B34354" w:rsidRPr="00F000BE" w14:paraId="776C2A1C" w14:textId="77777777" w:rsidTr="00F632F7">
        <w:trPr>
          <w:trHeight w:val="255"/>
        </w:trPr>
        <w:tc>
          <w:tcPr>
            <w:tcW w:w="2340" w:type="dxa"/>
            <w:tcBorders>
              <w:top w:val="nil"/>
              <w:left w:val="single" w:sz="4" w:space="0" w:color="auto"/>
              <w:bottom w:val="single" w:sz="4" w:space="0" w:color="auto"/>
              <w:right w:val="single" w:sz="4" w:space="0" w:color="auto"/>
            </w:tcBorders>
            <w:vAlign w:val="center"/>
            <w:hideMark/>
          </w:tcPr>
          <w:p w14:paraId="55112196" w14:textId="77777777" w:rsidR="00B34354" w:rsidRPr="00F000BE" w:rsidRDefault="00B34354" w:rsidP="000402AE">
            <w:pPr>
              <w:ind w:left="200"/>
              <w:jc w:val="both"/>
              <w:rPr>
                <w:rFonts w:cs="Arial"/>
              </w:rPr>
            </w:pPr>
            <w:r w:rsidRPr="00F000BE">
              <w:rPr>
                <w:rFonts w:cs="Arial"/>
              </w:rPr>
              <w:t>&gt;12</w:t>
            </w:r>
          </w:p>
        </w:tc>
        <w:tc>
          <w:tcPr>
            <w:tcW w:w="1465" w:type="dxa"/>
            <w:tcBorders>
              <w:top w:val="nil"/>
              <w:left w:val="nil"/>
              <w:bottom w:val="single" w:sz="4" w:space="0" w:color="auto"/>
              <w:right w:val="single" w:sz="4" w:space="0" w:color="auto"/>
            </w:tcBorders>
            <w:vAlign w:val="center"/>
            <w:hideMark/>
          </w:tcPr>
          <w:p w14:paraId="0D426305" w14:textId="77777777" w:rsidR="00B34354" w:rsidRPr="00F000BE" w:rsidRDefault="00B34354" w:rsidP="000402AE">
            <w:pPr>
              <w:jc w:val="center"/>
              <w:rPr>
                <w:rFonts w:cs="Arial"/>
              </w:rPr>
            </w:pPr>
            <w:r w:rsidRPr="00F000BE">
              <w:rPr>
                <w:rFonts w:cs="Arial"/>
              </w:rPr>
              <w:t>1.00</w:t>
            </w:r>
          </w:p>
        </w:tc>
        <w:tc>
          <w:tcPr>
            <w:tcW w:w="1685" w:type="dxa"/>
            <w:tcBorders>
              <w:top w:val="nil"/>
              <w:left w:val="nil"/>
              <w:bottom w:val="single" w:sz="4" w:space="0" w:color="auto"/>
              <w:right w:val="single" w:sz="4" w:space="0" w:color="auto"/>
            </w:tcBorders>
            <w:vAlign w:val="center"/>
            <w:hideMark/>
          </w:tcPr>
          <w:p w14:paraId="46DD5D08" w14:textId="77777777" w:rsidR="00B34354" w:rsidRPr="00F000BE" w:rsidRDefault="00B34354" w:rsidP="000402AE">
            <w:pPr>
              <w:jc w:val="center"/>
              <w:rPr>
                <w:rFonts w:cs="Arial"/>
              </w:rPr>
            </w:pPr>
            <w:r w:rsidRPr="00F000BE">
              <w:rPr>
                <w:rFonts w:cs="Arial"/>
              </w:rPr>
              <w:t>0.80</w:t>
            </w:r>
          </w:p>
        </w:tc>
        <w:tc>
          <w:tcPr>
            <w:tcW w:w="2250" w:type="dxa"/>
            <w:tcBorders>
              <w:top w:val="nil"/>
              <w:left w:val="nil"/>
              <w:bottom w:val="single" w:sz="4" w:space="0" w:color="auto"/>
              <w:right w:val="single" w:sz="4" w:space="0" w:color="auto"/>
            </w:tcBorders>
            <w:vAlign w:val="center"/>
            <w:hideMark/>
          </w:tcPr>
          <w:p w14:paraId="3546C7CF" w14:textId="77777777" w:rsidR="00B34354" w:rsidRPr="00F000BE" w:rsidRDefault="00B34354" w:rsidP="000402AE">
            <w:pPr>
              <w:jc w:val="center"/>
              <w:rPr>
                <w:rFonts w:cs="Arial"/>
              </w:rPr>
            </w:pPr>
            <w:r w:rsidRPr="00F000BE">
              <w:rPr>
                <w:rFonts w:cs="Arial"/>
              </w:rPr>
              <w:t>0.60</w:t>
            </w:r>
          </w:p>
        </w:tc>
      </w:tr>
    </w:tbl>
    <w:p w14:paraId="0B98732E" w14:textId="77777777" w:rsidR="00B34354" w:rsidRPr="00F000BE" w:rsidRDefault="00B34354" w:rsidP="00F632F7">
      <w:pPr>
        <w:pStyle w:val="ListParagraph"/>
        <w:autoSpaceDE w:val="0"/>
        <w:autoSpaceDN w:val="0"/>
        <w:adjustRightInd w:val="0"/>
        <w:ind w:left="1440"/>
        <w:jc w:val="both"/>
        <w:rPr>
          <w:rFonts w:cs="Arial"/>
          <w:szCs w:val="20"/>
        </w:rPr>
      </w:pPr>
    </w:p>
    <w:p w14:paraId="72875AB0" w14:textId="77777777" w:rsidR="00B34354" w:rsidRPr="00F000BE" w:rsidRDefault="00B34354" w:rsidP="00F632F7">
      <w:pPr>
        <w:pStyle w:val="ListParagraph"/>
        <w:autoSpaceDE w:val="0"/>
        <w:autoSpaceDN w:val="0"/>
        <w:adjustRightInd w:val="0"/>
        <w:ind w:left="1440"/>
        <w:jc w:val="both"/>
        <w:rPr>
          <w:rFonts w:cs="Arial"/>
          <w:szCs w:val="20"/>
        </w:rPr>
      </w:pPr>
      <w:r w:rsidRPr="00F000BE">
        <w:rPr>
          <w:rFonts w:cs="Arial"/>
          <w:szCs w:val="20"/>
        </w:rPr>
        <w:t xml:space="preserve">If the mean depth of a lot of material is in excess of the tolerance, the Contractor will not be paid for that material in excess of the tolerance throughout the length and width represented by the tests.  For excessive depth CCPRM courses, the rate of deduction from the tonnage allowed for payment as CCPRM course will be calculated based on the JMF weight per square yard per inch of depth in excess of the tolerance for the plan depth and the number of tests taken as specified in </w:t>
      </w:r>
      <w:r w:rsidRPr="00F000BE">
        <w:rPr>
          <w:rFonts w:cs="Arial"/>
          <w:b/>
          <w:szCs w:val="20"/>
        </w:rPr>
        <w:t>TABLE 2</w:t>
      </w:r>
      <w:r w:rsidRPr="00F000BE">
        <w:rPr>
          <w:rFonts w:cs="Arial"/>
          <w:szCs w:val="20"/>
        </w:rPr>
        <w:t xml:space="preserve"> or the Department can require excessive material to be removed at the Contractor’s expense. </w:t>
      </w:r>
    </w:p>
    <w:p w14:paraId="4DAF0DDE" w14:textId="77777777" w:rsidR="00B34354" w:rsidRPr="00F000BE" w:rsidRDefault="00B34354" w:rsidP="00F632F7">
      <w:pPr>
        <w:autoSpaceDE w:val="0"/>
        <w:autoSpaceDN w:val="0"/>
        <w:adjustRightInd w:val="0"/>
        <w:ind w:left="1440"/>
        <w:jc w:val="both"/>
        <w:rPr>
          <w:rFonts w:cs="Arial"/>
        </w:rPr>
      </w:pPr>
    </w:p>
    <w:p w14:paraId="4FB3E81F" w14:textId="77777777" w:rsidR="00B34354" w:rsidRPr="00F000BE" w:rsidRDefault="00B34354" w:rsidP="00F632F7">
      <w:pPr>
        <w:autoSpaceDE w:val="0"/>
        <w:autoSpaceDN w:val="0"/>
        <w:adjustRightInd w:val="0"/>
        <w:ind w:left="1440"/>
        <w:jc w:val="both"/>
      </w:pPr>
      <w:r w:rsidRPr="00F000BE">
        <w:rPr>
          <w:rFonts w:cs="Arial"/>
        </w:rPr>
        <w:t>If the mean depth of a lot of material is deficient by more than the allowable tolerance for the plan depth specified, correction will be required and the Contractor will be paid for the quantity of material that has been placed in the lot. For sections of CCPRM course that are deficient in depth beyond the tolerance, the Contractor shall furnish and place material specified for the subsequent course or as approved by the Engineer to bring the deficient CCPRM course depth within the tolerance of the specified plan depth.  This additional material shall be placed at the Contractor’s expense.</w:t>
      </w:r>
    </w:p>
    <w:p w14:paraId="43DCCB5F" w14:textId="77777777" w:rsidR="00B34354" w:rsidRPr="00F000BE" w:rsidRDefault="00B34354" w:rsidP="00F632F7">
      <w:pPr>
        <w:pStyle w:val="ListParagraph"/>
        <w:ind w:left="1440"/>
        <w:jc w:val="both"/>
        <w:rPr>
          <w:rFonts w:cs="Arial"/>
          <w:szCs w:val="20"/>
        </w:rPr>
      </w:pPr>
    </w:p>
    <w:p w14:paraId="0872DAC0" w14:textId="2E392291" w:rsidR="00B34354" w:rsidRPr="00F000BE" w:rsidRDefault="00B34354" w:rsidP="00F632F7">
      <w:pPr>
        <w:pStyle w:val="ListParagraph"/>
        <w:ind w:left="1440" w:hanging="720"/>
        <w:jc w:val="both"/>
        <w:rPr>
          <w:rFonts w:cs="Arial"/>
          <w:szCs w:val="20"/>
        </w:rPr>
      </w:pPr>
      <w:r w:rsidRPr="00F000BE">
        <w:rPr>
          <w:rFonts w:cs="Arial"/>
          <w:szCs w:val="20"/>
        </w:rPr>
        <w:t>3.</w:t>
      </w:r>
      <w:r w:rsidRPr="00F000BE">
        <w:rPr>
          <w:rFonts w:cs="Arial"/>
          <w:szCs w:val="20"/>
        </w:rPr>
        <w:tab/>
      </w:r>
      <w:r w:rsidRPr="00F000BE">
        <w:rPr>
          <w:rFonts w:cs="Arial"/>
          <w:b/>
          <w:szCs w:val="20"/>
        </w:rPr>
        <w:t xml:space="preserve">Density and Depth Check Construction Records </w:t>
      </w:r>
      <w:r w:rsidRPr="00F000BE">
        <w:rPr>
          <w:rFonts w:cs="Arial"/>
          <w:szCs w:val="20"/>
        </w:rPr>
        <w:t>– The Contractor shall prepare and submit to the Engineer separate test reports for density and depth testing meeting the requirements of AASHTO R 18 or may use the c</w:t>
      </w:r>
      <w:r w:rsidR="00D52587">
        <w:rPr>
          <w:rFonts w:cs="Arial"/>
          <w:szCs w:val="20"/>
        </w:rPr>
        <w:t>urrent appropriate VDOT forms.</w:t>
      </w:r>
    </w:p>
    <w:p w14:paraId="393EA60E" w14:textId="77777777" w:rsidR="00B34354" w:rsidRPr="00F000BE" w:rsidRDefault="00B34354" w:rsidP="00F632F7">
      <w:pPr>
        <w:ind w:left="1440" w:hanging="720"/>
        <w:rPr>
          <w:rFonts w:cs="Arial"/>
          <w:b/>
        </w:rPr>
      </w:pPr>
    </w:p>
    <w:p w14:paraId="33754AAB" w14:textId="77777777" w:rsidR="00B34354" w:rsidRPr="00F000BE" w:rsidRDefault="00B34354" w:rsidP="00F632F7">
      <w:pPr>
        <w:ind w:left="720" w:hanging="720"/>
        <w:rPr>
          <w:rFonts w:cs="Arial"/>
          <w:b/>
        </w:rPr>
      </w:pPr>
      <w:r w:rsidRPr="00F000BE">
        <w:rPr>
          <w:rFonts w:cs="Arial"/>
          <w:b/>
        </w:rPr>
        <w:t>VII.</w:t>
      </w:r>
      <w:r w:rsidRPr="00F000BE">
        <w:rPr>
          <w:rFonts w:cs="Arial"/>
          <w:b/>
        </w:rPr>
        <w:tab/>
        <w:t>Trial Section</w:t>
      </w:r>
    </w:p>
    <w:p w14:paraId="35BE44F5" w14:textId="77777777" w:rsidR="00B34354" w:rsidRPr="00F000BE" w:rsidRDefault="00B34354" w:rsidP="00F632F7">
      <w:pPr>
        <w:ind w:left="1440" w:hanging="720"/>
        <w:rPr>
          <w:rFonts w:cs="Arial"/>
          <w:b/>
        </w:rPr>
      </w:pPr>
    </w:p>
    <w:p w14:paraId="5F6845BE" w14:textId="28FBD1AB" w:rsidR="00B34354" w:rsidRPr="00F000BE" w:rsidRDefault="00B34354" w:rsidP="00F632F7">
      <w:pPr>
        <w:pStyle w:val="ListParagraph"/>
        <w:jc w:val="both"/>
        <w:rPr>
          <w:rFonts w:cs="Arial"/>
          <w:szCs w:val="20"/>
        </w:rPr>
      </w:pPr>
      <w:r w:rsidRPr="00F000BE">
        <w:rPr>
          <w:rFonts w:cs="Arial"/>
          <w:szCs w:val="20"/>
        </w:rPr>
        <w:t xml:space="preserve">At least one week but not more than 30 days prior to the start of production, the Contractor will construct a 1,000 foot long trial section, one-lane wide, at the designated thickness and designed optimal stabilizing agent(s) content provided in the approved job mix design.  The trial section will be constructed at a location approved by the Engineer on the project using the same construction procedures and equipment intended for the entire project.  Production will cease after construction of the trial section until the trial section is evaluated and accepted by the Engineer </w:t>
      </w:r>
      <w:r w:rsidR="006334FD">
        <w:rPr>
          <w:rFonts w:cs="Arial"/>
          <w:szCs w:val="20"/>
        </w:rPr>
        <w:t>according to</w:t>
      </w:r>
      <w:r w:rsidRPr="00F000BE">
        <w:rPr>
          <w:rFonts w:cs="Arial"/>
          <w:szCs w:val="20"/>
        </w:rPr>
        <w:t xml:space="preserve"> the requirements herein and </w:t>
      </w:r>
      <w:r w:rsidR="008B30F7">
        <w:rPr>
          <w:rFonts w:cs="Arial"/>
          <w:szCs w:val="20"/>
        </w:rPr>
        <w:t>t</w:t>
      </w:r>
      <w:r w:rsidRPr="00F000BE">
        <w:rPr>
          <w:rFonts w:cs="Arial"/>
          <w:szCs w:val="20"/>
        </w:rPr>
        <w:t xml:space="preserve">he Special Provision for Cold Central Plant Recycling Material.  The Trial Section shall be considered a lot and payment will follow the payment tables established in this specification and </w:t>
      </w:r>
      <w:r w:rsidR="008B30F7">
        <w:rPr>
          <w:rFonts w:cs="Arial"/>
          <w:szCs w:val="20"/>
        </w:rPr>
        <w:t>t</w:t>
      </w:r>
      <w:r w:rsidRPr="00F000BE">
        <w:rPr>
          <w:rFonts w:cs="Arial"/>
          <w:szCs w:val="20"/>
        </w:rPr>
        <w:t>he Special Provision for Cold Central Plant Recycling Material.</w:t>
      </w:r>
    </w:p>
    <w:p w14:paraId="3E486297" w14:textId="77777777" w:rsidR="00B34354" w:rsidRPr="00F000BE" w:rsidRDefault="00B34354" w:rsidP="00F632F7">
      <w:pPr>
        <w:pStyle w:val="ListParagraph"/>
        <w:jc w:val="both"/>
        <w:rPr>
          <w:rFonts w:cs="Arial"/>
          <w:szCs w:val="20"/>
        </w:rPr>
      </w:pPr>
    </w:p>
    <w:p w14:paraId="79FB0927" w14:textId="4B33A10A" w:rsidR="00B34354" w:rsidRPr="00F000BE" w:rsidRDefault="00B34354" w:rsidP="00F632F7">
      <w:pPr>
        <w:pStyle w:val="ListParagraph"/>
        <w:jc w:val="both"/>
        <w:rPr>
          <w:rFonts w:cs="Arial"/>
          <w:szCs w:val="20"/>
        </w:rPr>
      </w:pPr>
      <w:r w:rsidRPr="00F000BE">
        <w:rPr>
          <w:rFonts w:cs="Arial"/>
          <w:szCs w:val="20"/>
        </w:rPr>
        <w:t>Should the initial trial section fail, the Contractor shall construct a second trial section on the project site and may be required by the Department to have a Technical Representative present during mixing and placing operations for the second trial section.  When a Technical Representative is required, they shall remain present during mixing and placement of any additional trial sections until acceptance has been made by the Department. In addition, the Technical Representative shall also be present for the next day of production to oversee the mixing and placing operation.  If during the next production day, the materials meet the mixture and placement acceptance criteria, the Technical Representative will no longer be required on the project site.  If additional trial sections beyond the first two are needed, the Contractor shall construct the trial section at sites approved by the Engineer.</w:t>
      </w:r>
    </w:p>
    <w:p w14:paraId="2E9B1641" w14:textId="77777777" w:rsidR="00B34354" w:rsidRPr="00F000BE" w:rsidRDefault="00B34354" w:rsidP="00F632F7">
      <w:pPr>
        <w:pStyle w:val="ListParagraph"/>
        <w:jc w:val="both"/>
        <w:rPr>
          <w:rFonts w:cs="Arial"/>
          <w:szCs w:val="20"/>
        </w:rPr>
      </w:pPr>
    </w:p>
    <w:p w14:paraId="0EB18379" w14:textId="3B05BEBB" w:rsidR="00B34354" w:rsidRPr="00F000BE" w:rsidRDefault="00B34354" w:rsidP="00F632F7">
      <w:pPr>
        <w:pStyle w:val="ListParagraph"/>
        <w:jc w:val="both"/>
        <w:rPr>
          <w:rFonts w:cs="Arial"/>
          <w:szCs w:val="20"/>
        </w:rPr>
      </w:pPr>
      <w:r w:rsidRPr="00F000BE">
        <w:rPr>
          <w:rFonts w:cs="Arial"/>
          <w:szCs w:val="20"/>
        </w:rPr>
        <w:lastRenderedPageBreak/>
        <w:t>The Technical Representative shall meet the following criteria:</w:t>
      </w:r>
    </w:p>
    <w:p w14:paraId="4B0D73DA" w14:textId="77777777" w:rsidR="00B34354" w:rsidRPr="00F000BE" w:rsidRDefault="00B34354" w:rsidP="006A3E7D">
      <w:pPr>
        <w:pStyle w:val="ListParagraph"/>
        <w:jc w:val="both"/>
        <w:rPr>
          <w:rFonts w:cs="Arial"/>
          <w:szCs w:val="20"/>
        </w:rPr>
      </w:pPr>
    </w:p>
    <w:p w14:paraId="5E224331" w14:textId="77777777" w:rsidR="00B34354" w:rsidRDefault="00B34354" w:rsidP="002F69E8">
      <w:pPr>
        <w:ind w:left="1440" w:hanging="450"/>
        <w:jc w:val="both"/>
        <w:rPr>
          <w:rFonts w:cs="Arial"/>
        </w:rPr>
      </w:pPr>
      <w:r w:rsidRPr="00F000BE">
        <w:rPr>
          <w:rFonts w:cs="Arial"/>
        </w:rPr>
        <w:t>•</w:t>
      </w:r>
      <w:r w:rsidRPr="00F000BE">
        <w:rPr>
          <w:rFonts w:cs="Arial"/>
        </w:rPr>
        <w:tab/>
        <w:t>Have 2 years minimum experience with the CCPRM process</w:t>
      </w:r>
    </w:p>
    <w:p w14:paraId="409906DC" w14:textId="77777777" w:rsidR="002F69E8" w:rsidRPr="00F000BE" w:rsidRDefault="002F69E8" w:rsidP="002F69E8">
      <w:pPr>
        <w:ind w:left="1440" w:hanging="450"/>
        <w:jc w:val="both"/>
        <w:rPr>
          <w:rFonts w:cs="Arial"/>
        </w:rPr>
      </w:pPr>
    </w:p>
    <w:p w14:paraId="63789633" w14:textId="77777777" w:rsidR="00B34354" w:rsidRDefault="00B34354" w:rsidP="002F69E8">
      <w:pPr>
        <w:ind w:left="1440" w:hanging="450"/>
        <w:jc w:val="both"/>
        <w:rPr>
          <w:rFonts w:cs="Arial"/>
        </w:rPr>
      </w:pPr>
      <w:r w:rsidRPr="00F000BE">
        <w:rPr>
          <w:rFonts w:cs="Arial"/>
        </w:rPr>
        <w:t>•</w:t>
      </w:r>
      <w:r w:rsidRPr="00F000BE">
        <w:rPr>
          <w:rFonts w:cs="Arial"/>
        </w:rPr>
        <w:tab/>
        <w:t>Have personally supervised a minimum of 5 successful CCPRM projects</w:t>
      </w:r>
    </w:p>
    <w:p w14:paraId="49A90934" w14:textId="77777777" w:rsidR="002F69E8" w:rsidRPr="00F000BE" w:rsidRDefault="002F69E8" w:rsidP="002F69E8">
      <w:pPr>
        <w:ind w:left="1440" w:hanging="450"/>
        <w:jc w:val="both"/>
        <w:rPr>
          <w:rFonts w:cs="Arial"/>
        </w:rPr>
      </w:pPr>
    </w:p>
    <w:p w14:paraId="242715D8" w14:textId="77777777" w:rsidR="00B34354" w:rsidRDefault="00B34354" w:rsidP="002F69E8">
      <w:pPr>
        <w:ind w:left="1440" w:hanging="450"/>
        <w:jc w:val="both"/>
        <w:rPr>
          <w:rFonts w:cs="Arial"/>
        </w:rPr>
      </w:pPr>
      <w:r w:rsidRPr="00F000BE">
        <w:rPr>
          <w:rFonts w:cs="Arial"/>
        </w:rPr>
        <w:t>•</w:t>
      </w:r>
      <w:r w:rsidRPr="00F000BE">
        <w:rPr>
          <w:rFonts w:cs="Arial"/>
        </w:rPr>
        <w:tab/>
        <w:t>Have personal experience in developing CCPRM mix designs</w:t>
      </w:r>
    </w:p>
    <w:p w14:paraId="74D2DD37" w14:textId="77777777" w:rsidR="002F69E8" w:rsidRPr="00F000BE" w:rsidRDefault="002F69E8" w:rsidP="002F69E8">
      <w:pPr>
        <w:ind w:left="1440" w:hanging="450"/>
        <w:jc w:val="both"/>
        <w:rPr>
          <w:rFonts w:cs="Arial"/>
        </w:rPr>
      </w:pPr>
    </w:p>
    <w:p w14:paraId="0A7DC7DA" w14:textId="77777777" w:rsidR="00B34354" w:rsidRDefault="00B34354" w:rsidP="002F69E8">
      <w:pPr>
        <w:ind w:left="1440" w:hanging="450"/>
        <w:jc w:val="both"/>
        <w:rPr>
          <w:rFonts w:cs="Arial"/>
        </w:rPr>
      </w:pPr>
      <w:r w:rsidRPr="00F000BE">
        <w:rPr>
          <w:rFonts w:cs="Arial"/>
        </w:rPr>
        <w:t>•</w:t>
      </w:r>
      <w:r w:rsidRPr="00F000BE">
        <w:rPr>
          <w:rFonts w:cs="Arial"/>
        </w:rPr>
        <w:tab/>
        <w:t>Have the experience to perform and supervise field process control testing</w:t>
      </w:r>
    </w:p>
    <w:p w14:paraId="587D7234" w14:textId="77777777" w:rsidR="002F69E8" w:rsidRPr="00F000BE" w:rsidRDefault="002F69E8" w:rsidP="002F69E8">
      <w:pPr>
        <w:ind w:left="1440" w:hanging="450"/>
        <w:jc w:val="both"/>
        <w:rPr>
          <w:rFonts w:cs="Arial"/>
        </w:rPr>
      </w:pPr>
    </w:p>
    <w:p w14:paraId="1668BB82" w14:textId="77777777" w:rsidR="00B34354" w:rsidRPr="00F000BE" w:rsidRDefault="00B34354" w:rsidP="002F69E8">
      <w:pPr>
        <w:ind w:left="1440" w:hanging="450"/>
        <w:jc w:val="both"/>
        <w:rPr>
          <w:rFonts w:cs="Arial"/>
        </w:rPr>
      </w:pPr>
      <w:r w:rsidRPr="00F000BE">
        <w:rPr>
          <w:rFonts w:cs="Arial"/>
        </w:rPr>
        <w:t>•</w:t>
      </w:r>
      <w:r w:rsidRPr="00F000BE">
        <w:rPr>
          <w:rFonts w:cs="Arial"/>
        </w:rPr>
        <w:tab/>
        <w:t>Submit a list of references, with current telephone numbers, of persons who are able to verify the experience required herein</w:t>
      </w:r>
    </w:p>
    <w:p w14:paraId="4AEE1E60" w14:textId="77777777" w:rsidR="00B34354" w:rsidRPr="00F000BE" w:rsidRDefault="00B34354" w:rsidP="002F69E8">
      <w:pPr>
        <w:ind w:left="720"/>
        <w:jc w:val="both"/>
        <w:rPr>
          <w:rFonts w:cs="Arial"/>
        </w:rPr>
      </w:pPr>
    </w:p>
    <w:p w14:paraId="2C1032E6" w14:textId="6010F82C" w:rsidR="00B34354" w:rsidRPr="00F000BE" w:rsidRDefault="00B34354" w:rsidP="002F69E8">
      <w:pPr>
        <w:ind w:left="720"/>
        <w:jc w:val="both"/>
        <w:rPr>
          <w:rFonts w:cs="Arial"/>
        </w:rPr>
      </w:pPr>
      <w:r w:rsidRPr="00F000BE">
        <w:rPr>
          <w:rFonts w:cs="Arial"/>
        </w:rPr>
        <w:t>The Contractor may use consultants or manufacturers’ representatives to satisfy the technical representative requirements listed</w:t>
      </w:r>
      <w:r w:rsidR="008B30F7">
        <w:rPr>
          <w:rFonts w:cs="Arial"/>
        </w:rPr>
        <w:t xml:space="preserve"> above.</w:t>
      </w:r>
    </w:p>
    <w:p w14:paraId="047D7C39" w14:textId="77777777" w:rsidR="00B34354" w:rsidRPr="00F000BE" w:rsidRDefault="00B34354" w:rsidP="00036CD3">
      <w:pPr>
        <w:pStyle w:val="ListParagraph"/>
        <w:ind w:left="0"/>
        <w:jc w:val="both"/>
        <w:rPr>
          <w:rFonts w:cs="Arial"/>
          <w:szCs w:val="20"/>
        </w:rPr>
      </w:pPr>
    </w:p>
    <w:p w14:paraId="5D1341F0" w14:textId="52E4DDC9" w:rsidR="00B34354" w:rsidRPr="00F000BE" w:rsidRDefault="00B34354" w:rsidP="00F632F7">
      <w:pPr>
        <w:pStyle w:val="ListParagraph"/>
        <w:ind w:hanging="720"/>
        <w:jc w:val="both"/>
        <w:rPr>
          <w:rFonts w:cs="Arial"/>
          <w:b/>
          <w:szCs w:val="20"/>
        </w:rPr>
      </w:pPr>
      <w:r w:rsidRPr="00F000BE">
        <w:rPr>
          <w:rFonts w:cs="Arial"/>
          <w:b/>
          <w:szCs w:val="20"/>
        </w:rPr>
        <w:t>VIII.</w:t>
      </w:r>
      <w:r w:rsidRPr="00F000BE">
        <w:rPr>
          <w:rFonts w:cs="Arial"/>
          <w:b/>
          <w:szCs w:val="20"/>
        </w:rPr>
        <w:tab/>
        <w:t>Measurement and Payment</w:t>
      </w:r>
    </w:p>
    <w:p w14:paraId="46D58CF9" w14:textId="77777777" w:rsidR="00B34354" w:rsidRPr="00F000BE" w:rsidRDefault="00B34354" w:rsidP="002F69E8">
      <w:pPr>
        <w:pStyle w:val="ListParagraph"/>
        <w:jc w:val="both"/>
        <w:rPr>
          <w:rFonts w:cs="Arial"/>
          <w:b/>
          <w:szCs w:val="20"/>
        </w:rPr>
      </w:pPr>
    </w:p>
    <w:p w14:paraId="098DFECF" w14:textId="5D187D4C" w:rsidR="00B34354" w:rsidRPr="00F000BE" w:rsidRDefault="00B34354" w:rsidP="002F69E8">
      <w:pPr>
        <w:ind w:left="720"/>
        <w:jc w:val="both"/>
        <w:rPr>
          <w:rFonts w:cs="Arial"/>
        </w:rPr>
      </w:pPr>
      <w:r w:rsidRPr="008B30F7">
        <w:rPr>
          <w:rFonts w:cs="Arial"/>
          <w:b/>
        </w:rPr>
        <w:t xml:space="preserve">Cold </w:t>
      </w:r>
      <w:r w:rsidR="008B30F7" w:rsidRPr="008B30F7">
        <w:rPr>
          <w:rFonts w:cs="Arial"/>
          <w:b/>
        </w:rPr>
        <w:t xml:space="preserve">Central </w:t>
      </w:r>
      <w:r w:rsidRPr="008B30F7">
        <w:rPr>
          <w:rFonts w:cs="Arial"/>
          <w:b/>
        </w:rPr>
        <w:t>Plant Recycling Material (CCPRM)</w:t>
      </w:r>
      <w:r w:rsidRPr="00F000BE">
        <w:rPr>
          <w:rFonts w:cs="Arial"/>
        </w:rPr>
        <w:t xml:space="preserve"> will be measured by the ton of the completed sections and will be paid for at the Contract unit price per ton.  This price shall be full compensation for removal, hauling and processing of the existing pavement (if RAP from the same project is used) and/or existing RAP stockpile(s); for additional aggregate if needed; for preparing, hauling, placing and compacting of all materials; furnishing stabilizing agents, fog seal, grit and additives; for all freight involved; for all manipulations, rolling and brooming; for testing and documentation; asphalt supplier services; and for all labor, tools, equipment and incidentals necessary to complete the work.  Net weight information shall be furnished with each load of material delivered </w:t>
      </w:r>
      <w:r w:rsidR="006334FD">
        <w:rPr>
          <w:rFonts w:cs="Arial"/>
        </w:rPr>
        <w:t>according to</w:t>
      </w:r>
      <w:r w:rsidRPr="00F000BE">
        <w:rPr>
          <w:rFonts w:cs="Arial"/>
        </w:rPr>
        <w:t xml:space="preserve"> Section 211 of the Specifications.  Batch weights will not be permitted as a method of measurement unless the Contractor’s plant is equipped </w:t>
      </w:r>
      <w:r w:rsidR="006334FD">
        <w:rPr>
          <w:rFonts w:cs="Arial"/>
        </w:rPr>
        <w:t>according to</w:t>
      </w:r>
      <w:r w:rsidRPr="00F000BE">
        <w:rPr>
          <w:rFonts w:cs="Arial"/>
        </w:rPr>
        <w:t xml:space="preserve"> Section 211 of the Specifications, in which case the cumulative weight of the batches will be used for payment.</w:t>
      </w:r>
    </w:p>
    <w:p w14:paraId="2774F037" w14:textId="77777777" w:rsidR="00B34354" w:rsidRPr="00F000BE" w:rsidRDefault="00B34354" w:rsidP="002F69E8">
      <w:pPr>
        <w:ind w:left="720"/>
        <w:jc w:val="both"/>
        <w:rPr>
          <w:rFonts w:cs="Arial"/>
        </w:rPr>
      </w:pPr>
    </w:p>
    <w:p w14:paraId="4C303D7B" w14:textId="77777777" w:rsidR="00B34354" w:rsidRPr="00F000BE" w:rsidRDefault="00B34354" w:rsidP="002F69E8">
      <w:pPr>
        <w:ind w:left="720"/>
        <w:jc w:val="both"/>
        <w:rPr>
          <w:rFonts w:cs="Arial"/>
        </w:rPr>
      </w:pPr>
      <w:r w:rsidRPr="00F000BE">
        <w:rPr>
          <w:rFonts w:cs="Arial"/>
        </w:rPr>
        <w:t>The initial trial section will be paid for at the contract unit price for CCPRM, to include price adjustments.  If needed, the Department will pay for up to one additional trial section of CCPRM at the contract unit price, to include price adjustments.  The Department will pay for a maximum of two trial sections at the contract unit price.  If more than two trial sections are needed, the Contractor shall bear all costs associated with producing and placing the material at a site approved by the Engineer.</w:t>
      </w:r>
    </w:p>
    <w:p w14:paraId="71B366CE" w14:textId="77777777" w:rsidR="00B34354" w:rsidRPr="00F000BE" w:rsidRDefault="00B34354" w:rsidP="002F69E8">
      <w:pPr>
        <w:ind w:left="720"/>
        <w:jc w:val="both"/>
        <w:rPr>
          <w:rFonts w:cs="Arial"/>
        </w:rPr>
      </w:pPr>
    </w:p>
    <w:p w14:paraId="0A7BE5D9" w14:textId="77777777" w:rsidR="00B34354" w:rsidRPr="00F000BE" w:rsidRDefault="00B34354" w:rsidP="002F69E8">
      <w:pPr>
        <w:ind w:left="720"/>
        <w:jc w:val="both"/>
        <w:rPr>
          <w:rFonts w:cs="Arial"/>
        </w:rPr>
      </w:pPr>
      <w:r w:rsidRPr="00F000BE">
        <w:rPr>
          <w:rFonts w:cs="Arial"/>
        </w:rPr>
        <w:t>Payment will be made under:</w:t>
      </w:r>
    </w:p>
    <w:p w14:paraId="4E2D76CB" w14:textId="77777777" w:rsidR="00B34354" w:rsidRPr="00F000BE" w:rsidRDefault="00B34354" w:rsidP="002F69E8">
      <w:pPr>
        <w:pStyle w:val="Title"/>
        <w:ind w:left="720"/>
        <w:jc w:val="left"/>
        <w:rPr>
          <w:rFonts w:cs="Arial"/>
          <w:b w:val="0"/>
        </w:rPr>
      </w:pPr>
    </w:p>
    <w:tbl>
      <w:tblPr>
        <w:tblW w:w="0" w:type="auto"/>
        <w:tblInd w:w="1188" w:type="dxa"/>
        <w:tblLook w:val="0000" w:firstRow="0" w:lastRow="0" w:firstColumn="0" w:lastColumn="0" w:noHBand="0" w:noVBand="0"/>
      </w:tblPr>
      <w:tblGrid>
        <w:gridCol w:w="5922"/>
        <w:gridCol w:w="1890"/>
      </w:tblGrid>
      <w:tr w:rsidR="00B34354" w:rsidRPr="00F000BE" w14:paraId="1B3D7F9E" w14:textId="77777777" w:rsidTr="002F69E8">
        <w:tc>
          <w:tcPr>
            <w:tcW w:w="5922" w:type="dxa"/>
          </w:tcPr>
          <w:p w14:paraId="41333618" w14:textId="77777777" w:rsidR="00B34354" w:rsidRPr="00F000BE" w:rsidRDefault="00B34354" w:rsidP="000402AE">
            <w:pPr>
              <w:jc w:val="both"/>
              <w:rPr>
                <w:b/>
              </w:rPr>
            </w:pPr>
            <w:r w:rsidRPr="00F000BE">
              <w:rPr>
                <w:b/>
              </w:rPr>
              <w:t>Pay Item</w:t>
            </w:r>
          </w:p>
          <w:p w14:paraId="64AF0338" w14:textId="77777777" w:rsidR="00B34354" w:rsidRPr="00F000BE" w:rsidRDefault="00B34354" w:rsidP="000402AE">
            <w:pPr>
              <w:jc w:val="both"/>
            </w:pPr>
          </w:p>
        </w:tc>
        <w:tc>
          <w:tcPr>
            <w:tcW w:w="1890" w:type="dxa"/>
          </w:tcPr>
          <w:p w14:paraId="291B66A5" w14:textId="77777777" w:rsidR="00B34354" w:rsidRPr="00F000BE" w:rsidRDefault="00B34354" w:rsidP="000402AE">
            <w:pPr>
              <w:jc w:val="both"/>
            </w:pPr>
            <w:r w:rsidRPr="00F000BE">
              <w:rPr>
                <w:b/>
              </w:rPr>
              <w:t>Pay Unit</w:t>
            </w:r>
          </w:p>
        </w:tc>
      </w:tr>
      <w:tr w:rsidR="00B34354" w:rsidRPr="00F000BE" w14:paraId="5CAEC80B" w14:textId="77777777" w:rsidTr="002F69E8">
        <w:tc>
          <w:tcPr>
            <w:tcW w:w="5922" w:type="dxa"/>
          </w:tcPr>
          <w:p w14:paraId="2155824E" w14:textId="77777777" w:rsidR="00B34354" w:rsidRPr="00F000BE" w:rsidRDefault="00B34354" w:rsidP="000402AE">
            <w:pPr>
              <w:jc w:val="both"/>
            </w:pPr>
            <w:r w:rsidRPr="00F000BE">
              <w:rPr>
                <w:rFonts w:cs="Arial"/>
              </w:rPr>
              <w:t>Cold Central Plant Recycling Material (CCPRM)</w:t>
            </w:r>
          </w:p>
        </w:tc>
        <w:tc>
          <w:tcPr>
            <w:tcW w:w="1890" w:type="dxa"/>
          </w:tcPr>
          <w:p w14:paraId="68749CC3" w14:textId="77777777" w:rsidR="00B34354" w:rsidRPr="00F000BE" w:rsidRDefault="00B34354" w:rsidP="000402AE">
            <w:pPr>
              <w:jc w:val="both"/>
            </w:pPr>
            <w:r w:rsidRPr="00F000BE">
              <w:rPr>
                <w:rFonts w:cs="Arial"/>
              </w:rPr>
              <w:t>Ton</w:t>
            </w:r>
          </w:p>
        </w:tc>
      </w:tr>
    </w:tbl>
    <w:p w14:paraId="383D3AB8" w14:textId="77777777" w:rsidR="00B34354" w:rsidRPr="00F000BE" w:rsidRDefault="00B34354" w:rsidP="002F69E8">
      <w:pPr>
        <w:pStyle w:val="ListParagraph"/>
        <w:jc w:val="both"/>
        <w:rPr>
          <w:rFonts w:cs="Arial"/>
          <w:szCs w:val="20"/>
        </w:rPr>
      </w:pPr>
    </w:p>
    <w:sectPr w:rsidR="00B3435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034CD" w14:textId="77777777" w:rsidR="00CD699F" w:rsidRDefault="00CD699F">
      <w:r>
        <w:separator/>
      </w:r>
    </w:p>
  </w:endnote>
  <w:endnote w:type="continuationSeparator" w:id="0">
    <w:p w14:paraId="670B7913" w14:textId="77777777" w:rsidR="00CD699F" w:rsidRDefault="00CD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D6626" w14:textId="77777777" w:rsidR="00CD699F" w:rsidRDefault="00CD699F">
      <w:r>
        <w:separator/>
      </w:r>
    </w:p>
  </w:footnote>
  <w:footnote w:type="continuationSeparator" w:id="0">
    <w:p w14:paraId="2B5F5467" w14:textId="77777777" w:rsidR="00CD699F" w:rsidRDefault="00CD6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7ED3"/>
    <w:rsid w:val="0001549B"/>
    <w:rsid w:val="0001784D"/>
    <w:rsid w:val="00026F26"/>
    <w:rsid w:val="00036CD3"/>
    <w:rsid w:val="000535D5"/>
    <w:rsid w:val="00062167"/>
    <w:rsid w:val="000A67BF"/>
    <w:rsid w:val="000B7D54"/>
    <w:rsid w:val="000C412B"/>
    <w:rsid w:val="000F194F"/>
    <w:rsid w:val="00107AEC"/>
    <w:rsid w:val="00117EF8"/>
    <w:rsid w:val="00124D40"/>
    <w:rsid w:val="00130682"/>
    <w:rsid w:val="00173959"/>
    <w:rsid w:val="0019108A"/>
    <w:rsid w:val="00195503"/>
    <w:rsid w:val="001A09AC"/>
    <w:rsid w:val="001A305C"/>
    <w:rsid w:val="001C4040"/>
    <w:rsid w:val="00200A57"/>
    <w:rsid w:val="002147D7"/>
    <w:rsid w:val="002149BE"/>
    <w:rsid w:val="0025109E"/>
    <w:rsid w:val="0028689B"/>
    <w:rsid w:val="00293D6E"/>
    <w:rsid w:val="002D6861"/>
    <w:rsid w:val="002D7FF5"/>
    <w:rsid w:val="002F69E8"/>
    <w:rsid w:val="00304D52"/>
    <w:rsid w:val="003068AF"/>
    <w:rsid w:val="00330195"/>
    <w:rsid w:val="003931A1"/>
    <w:rsid w:val="003D0DE2"/>
    <w:rsid w:val="003D61CA"/>
    <w:rsid w:val="003F24C5"/>
    <w:rsid w:val="00407155"/>
    <w:rsid w:val="00413782"/>
    <w:rsid w:val="00432F61"/>
    <w:rsid w:val="004425F3"/>
    <w:rsid w:val="00450017"/>
    <w:rsid w:val="00461FF3"/>
    <w:rsid w:val="00472E9D"/>
    <w:rsid w:val="004735D1"/>
    <w:rsid w:val="00477527"/>
    <w:rsid w:val="0048491E"/>
    <w:rsid w:val="004929D2"/>
    <w:rsid w:val="004B4B71"/>
    <w:rsid w:val="004B7FD4"/>
    <w:rsid w:val="004C068D"/>
    <w:rsid w:val="004C14A1"/>
    <w:rsid w:val="004F6C7B"/>
    <w:rsid w:val="00510D35"/>
    <w:rsid w:val="00516FCB"/>
    <w:rsid w:val="00530D79"/>
    <w:rsid w:val="00546049"/>
    <w:rsid w:val="00546DC5"/>
    <w:rsid w:val="00574B46"/>
    <w:rsid w:val="00583A3E"/>
    <w:rsid w:val="00583CC4"/>
    <w:rsid w:val="00586DC9"/>
    <w:rsid w:val="005A4C2F"/>
    <w:rsid w:val="005A5B11"/>
    <w:rsid w:val="005B2DE5"/>
    <w:rsid w:val="005C180C"/>
    <w:rsid w:val="005C32CA"/>
    <w:rsid w:val="005D4900"/>
    <w:rsid w:val="005F0785"/>
    <w:rsid w:val="006013A7"/>
    <w:rsid w:val="00627601"/>
    <w:rsid w:val="006334FD"/>
    <w:rsid w:val="00635B0A"/>
    <w:rsid w:val="00675572"/>
    <w:rsid w:val="00676336"/>
    <w:rsid w:val="006825BF"/>
    <w:rsid w:val="006855CC"/>
    <w:rsid w:val="006A07F3"/>
    <w:rsid w:val="006A17BA"/>
    <w:rsid w:val="006A2261"/>
    <w:rsid w:val="006A2AFF"/>
    <w:rsid w:val="006A3977"/>
    <w:rsid w:val="006A3E7D"/>
    <w:rsid w:val="006B1BA8"/>
    <w:rsid w:val="006B3094"/>
    <w:rsid w:val="006C3E33"/>
    <w:rsid w:val="006C43BE"/>
    <w:rsid w:val="006F17B7"/>
    <w:rsid w:val="0071701C"/>
    <w:rsid w:val="007201BF"/>
    <w:rsid w:val="0072326D"/>
    <w:rsid w:val="00723272"/>
    <w:rsid w:val="00725454"/>
    <w:rsid w:val="007525EB"/>
    <w:rsid w:val="0078729B"/>
    <w:rsid w:val="00792592"/>
    <w:rsid w:val="0079365F"/>
    <w:rsid w:val="007A334E"/>
    <w:rsid w:val="007C3D79"/>
    <w:rsid w:val="007D4C15"/>
    <w:rsid w:val="00833443"/>
    <w:rsid w:val="00835AAD"/>
    <w:rsid w:val="00862AD9"/>
    <w:rsid w:val="00866C5C"/>
    <w:rsid w:val="00867F9E"/>
    <w:rsid w:val="00880B39"/>
    <w:rsid w:val="00886DF4"/>
    <w:rsid w:val="008A523E"/>
    <w:rsid w:val="008B30F7"/>
    <w:rsid w:val="008C45BB"/>
    <w:rsid w:val="009010A5"/>
    <w:rsid w:val="0092270A"/>
    <w:rsid w:val="0092368A"/>
    <w:rsid w:val="00944D71"/>
    <w:rsid w:val="00944DAC"/>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51519"/>
    <w:rsid w:val="00A65374"/>
    <w:rsid w:val="00A66530"/>
    <w:rsid w:val="00A94F36"/>
    <w:rsid w:val="00AA49D0"/>
    <w:rsid w:val="00AA5C1E"/>
    <w:rsid w:val="00AB38F9"/>
    <w:rsid w:val="00B03E56"/>
    <w:rsid w:val="00B11F8B"/>
    <w:rsid w:val="00B26F38"/>
    <w:rsid w:val="00B27C1F"/>
    <w:rsid w:val="00B34354"/>
    <w:rsid w:val="00B875E2"/>
    <w:rsid w:val="00BB2A76"/>
    <w:rsid w:val="00BB3332"/>
    <w:rsid w:val="00BB4600"/>
    <w:rsid w:val="00BC0A28"/>
    <w:rsid w:val="00BC7D8C"/>
    <w:rsid w:val="00BE3329"/>
    <w:rsid w:val="00C011C3"/>
    <w:rsid w:val="00C46D4D"/>
    <w:rsid w:val="00C479F6"/>
    <w:rsid w:val="00C56BE2"/>
    <w:rsid w:val="00C640E3"/>
    <w:rsid w:val="00C87C97"/>
    <w:rsid w:val="00C927B8"/>
    <w:rsid w:val="00CA5396"/>
    <w:rsid w:val="00CD699F"/>
    <w:rsid w:val="00CE28D8"/>
    <w:rsid w:val="00D03848"/>
    <w:rsid w:val="00D07472"/>
    <w:rsid w:val="00D13DD7"/>
    <w:rsid w:val="00D17E07"/>
    <w:rsid w:val="00D40C53"/>
    <w:rsid w:val="00D52587"/>
    <w:rsid w:val="00D7425B"/>
    <w:rsid w:val="00D74A4C"/>
    <w:rsid w:val="00D82EF0"/>
    <w:rsid w:val="00D86633"/>
    <w:rsid w:val="00D9429A"/>
    <w:rsid w:val="00DA60C9"/>
    <w:rsid w:val="00DD28D0"/>
    <w:rsid w:val="00DD55AF"/>
    <w:rsid w:val="00E049D1"/>
    <w:rsid w:val="00E1261C"/>
    <w:rsid w:val="00E34F5C"/>
    <w:rsid w:val="00E510AC"/>
    <w:rsid w:val="00E52DEB"/>
    <w:rsid w:val="00E57D4D"/>
    <w:rsid w:val="00E67DFC"/>
    <w:rsid w:val="00E75AF1"/>
    <w:rsid w:val="00E91EB6"/>
    <w:rsid w:val="00EB28CC"/>
    <w:rsid w:val="00EF4E5C"/>
    <w:rsid w:val="00F055A2"/>
    <w:rsid w:val="00F11FD3"/>
    <w:rsid w:val="00F234D3"/>
    <w:rsid w:val="00F632F7"/>
    <w:rsid w:val="00F67A7B"/>
    <w:rsid w:val="00F92FF8"/>
    <w:rsid w:val="00FA57F8"/>
    <w:rsid w:val="00FA6A9B"/>
    <w:rsid w:val="00FC617E"/>
    <w:rsid w:val="00FC76F5"/>
    <w:rsid w:val="00FD3AD3"/>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8C8E56AE-FB1B-417F-ABE8-24B16A00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4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B0%20Cold%20Central%20Plant%20Recyc%20Mat%20(CCPRM)%20Place.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 for asphalt projects.{2007-S315AB0}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SP315-000400-00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5FFF3261-5E8C-458F-A474-EA6CCE6464D5}"/>
</file>

<file path=docProps/app.xml><?xml version="1.0" encoding="utf-8"?>
<Properties xmlns="http://schemas.openxmlformats.org/officeDocument/2006/extended-properties" xmlns:vt="http://schemas.openxmlformats.org/officeDocument/2006/docPropsVTypes">
  <Template>Normal</Template>
  <TotalTime>908</TotalTime>
  <Pages>5</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COLD CENTRAL PLANT RECYCLING MATERIAL PLACEMENT 7-12-16</vt:lpstr>
    </vt:vector>
  </TitlesOfParts>
  <Company>VDOT</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 PLACEMENT 7-12-16</dc:title>
  <dc:creator>vdot</dc:creator>
  <cp:lastModifiedBy>Gayle, David W. (VDOT)</cp:lastModifiedBy>
  <cp:revision>139</cp:revision>
  <dcterms:created xsi:type="dcterms:W3CDTF">2015-10-15T17:45:00Z</dcterms:created>
  <dcterms:modified xsi:type="dcterms:W3CDTF">2018-04-06T18:19:00Z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projects.{2007-S315AB0}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https://outsidevdot.cov.virginia.gov/P0JQP/2016_Standard_Specifications/Forms/PLGG.aspx?View={059C9ADD-1EEB-4E46-8248-51123B71B3E6}&amp;FilterField1=ID&amp;FilterValue1=145, G</vt:lpwstr>
  </property>
</Properties>
</file>